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BBE" w:rsidRDefault="00866BBE" w:rsidP="00866BBE">
      <w:pPr>
        <w:spacing w:before="120" w:after="120" w:line="276" w:lineRule="auto"/>
        <w:jc w:val="center"/>
        <w:rPr>
          <w:rFonts w:ascii="Palatino Linotype" w:hAnsi="Palatino Linotype"/>
          <w:b/>
          <w:bCs/>
          <w:sz w:val="24"/>
          <w:szCs w:val="24"/>
          <w:vertAlign w:val="superscript"/>
          <w:lang w:val="tr-TR"/>
        </w:rPr>
      </w:pPr>
      <w:r>
        <w:rPr>
          <w:rFonts w:ascii="Palatino Linotype" w:hAnsi="Palatino Linotype"/>
          <w:b/>
          <w:bCs/>
          <w:sz w:val="24"/>
          <w:szCs w:val="24"/>
          <w:lang w:val="tr-TR"/>
        </w:rPr>
        <w:t>AİHM’İN AKGÜN/TÜRKİYE KARARININ DEĞERLENDİRİLMESİ</w:t>
      </w:r>
    </w:p>
    <w:p w:rsidR="00866BBE" w:rsidRDefault="00866BBE" w:rsidP="00866BBE">
      <w:pPr>
        <w:spacing w:before="120" w:after="120" w:line="276" w:lineRule="auto"/>
        <w:jc w:val="center"/>
        <w:rPr>
          <w:rFonts w:ascii="Palatino Linotype" w:hAnsi="Palatino Linotype"/>
          <w:b/>
          <w:bCs/>
          <w:sz w:val="24"/>
          <w:szCs w:val="24"/>
          <w:lang w:val="tr-TR"/>
        </w:rPr>
      </w:pPr>
      <w:r>
        <w:rPr>
          <w:rFonts w:ascii="Palatino Linotype" w:hAnsi="Palatino Linotype"/>
          <w:b/>
          <w:bCs/>
          <w:sz w:val="24"/>
          <w:szCs w:val="24"/>
          <w:lang w:val="tr-TR"/>
        </w:rPr>
        <w:t>Dr. Gökhan GÜNEŞ</w:t>
      </w:r>
    </w:p>
    <w:p w:rsidR="00866BBE" w:rsidRDefault="00866BBE" w:rsidP="00866BBE">
      <w:pPr>
        <w:spacing w:before="120" w:after="120" w:line="276" w:lineRule="auto"/>
        <w:jc w:val="both"/>
        <w:rPr>
          <w:rFonts w:ascii="Palatino Linotype" w:hAnsi="Palatino Linotype"/>
          <w:sz w:val="24"/>
          <w:szCs w:val="24"/>
          <w:lang w:val="tr-TR"/>
        </w:rPr>
      </w:pPr>
    </w:p>
    <w:p w:rsidR="00866BBE" w:rsidRDefault="00866BBE" w:rsidP="00866BBE">
      <w:pPr>
        <w:spacing w:before="120" w:after="120" w:line="276" w:lineRule="auto"/>
        <w:jc w:val="both"/>
        <w:outlineLvl w:val="0"/>
        <w:rPr>
          <w:rFonts w:ascii="Palatino Linotype" w:hAnsi="Palatino Linotype"/>
          <w:b/>
          <w:sz w:val="24"/>
          <w:szCs w:val="24"/>
          <w:lang w:val="tr-TR"/>
        </w:rPr>
      </w:pPr>
      <w:r>
        <w:rPr>
          <w:rFonts w:ascii="Palatino Linotype" w:hAnsi="Palatino Linotype"/>
          <w:b/>
          <w:sz w:val="24"/>
          <w:szCs w:val="24"/>
          <w:lang w:val="tr-TR"/>
        </w:rPr>
        <w:t xml:space="preserve">I. BAŞVURUCU VE BAŞVURUYA İLİŞKİN BİLGİLER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Başvurucu eski bir polis memurudur ve </w:t>
      </w:r>
      <w:proofErr w:type="gramStart"/>
      <w:r>
        <w:rPr>
          <w:rFonts w:ascii="Palatino Linotype" w:hAnsi="Palatino Linotype"/>
          <w:sz w:val="24"/>
          <w:szCs w:val="24"/>
          <w:lang w:val="tr-TR"/>
        </w:rPr>
        <w:t>19/8/2016’da</w:t>
      </w:r>
      <w:proofErr w:type="gramEnd"/>
      <w:r>
        <w:rPr>
          <w:rFonts w:ascii="Palatino Linotype" w:hAnsi="Palatino Linotype"/>
          <w:sz w:val="24"/>
          <w:szCs w:val="24"/>
          <w:lang w:val="tr-TR"/>
        </w:rPr>
        <w:t xml:space="preserve"> ihraç edilmiştir. </w:t>
      </w:r>
      <w:proofErr w:type="gramStart"/>
      <w:r>
        <w:rPr>
          <w:rFonts w:ascii="Palatino Linotype" w:hAnsi="Palatino Linotype"/>
          <w:sz w:val="24"/>
          <w:szCs w:val="24"/>
          <w:lang w:val="tr-TR"/>
        </w:rPr>
        <w:t>17/10/2016’da</w:t>
      </w:r>
      <w:proofErr w:type="gramEnd"/>
      <w:r>
        <w:rPr>
          <w:rFonts w:ascii="Palatino Linotype" w:hAnsi="Palatino Linotype"/>
          <w:sz w:val="24"/>
          <w:szCs w:val="24"/>
          <w:lang w:val="tr-TR"/>
        </w:rPr>
        <w:t xml:space="preserve"> sorgulanmış ve kendisine ait hattan 29635 ID </w:t>
      </w:r>
      <w:proofErr w:type="spellStart"/>
      <w:r>
        <w:rPr>
          <w:rFonts w:ascii="Palatino Linotype" w:hAnsi="Palatino Linotype"/>
          <w:sz w:val="24"/>
          <w:szCs w:val="24"/>
          <w:lang w:val="tr-TR"/>
        </w:rPr>
        <w:t>nolu</w:t>
      </w:r>
      <w:proofErr w:type="spellEnd"/>
      <w:r>
        <w:rPr>
          <w:rFonts w:ascii="Palatino Linotype" w:hAnsi="Palatino Linotype"/>
          <w:sz w:val="24"/>
          <w:szCs w:val="24"/>
          <w:lang w:val="tr-TR"/>
        </w:rPr>
        <w:t xml:space="preserv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kullanım iddiasını reddetmiştir. Başvurucunun kırmızı listede olduğu belirtilmiştir. Başvurucu, hakkında verilen tutuklamanın haksız olduğu gerekçesiyle </w:t>
      </w:r>
      <w:proofErr w:type="gramStart"/>
      <w:r>
        <w:rPr>
          <w:rFonts w:ascii="Palatino Linotype" w:hAnsi="Palatino Linotype"/>
          <w:sz w:val="24"/>
          <w:szCs w:val="24"/>
          <w:lang w:val="tr-TR"/>
        </w:rPr>
        <w:t>05/12/2016’da</w:t>
      </w:r>
      <w:proofErr w:type="gramEnd"/>
      <w:r>
        <w:rPr>
          <w:rFonts w:ascii="Palatino Linotype" w:hAnsi="Palatino Linotype"/>
          <w:sz w:val="24"/>
          <w:szCs w:val="24"/>
          <w:lang w:val="tr-TR"/>
        </w:rPr>
        <w:t xml:space="preserve"> Anayasa Mahkemesi’ne (AYM) bireysel başvuru yapmıştır. AYM, </w:t>
      </w:r>
      <w:proofErr w:type="gramStart"/>
      <w:r>
        <w:rPr>
          <w:rFonts w:ascii="Palatino Linotype" w:hAnsi="Palatino Linotype"/>
          <w:sz w:val="24"/>
          <w:szCs w:val="24"/>
          <w:lang w:val="tr-TR"/>
        </w:rPr>
        <w:t>15/12/2017’de</w:t>
      </w:r>
      <w:proofErr w:type="gramEnd"/>
      <w:r>
        <w:rPr>
          <w:rFonts w:ascii="Palatino Linotype" w:hAnsi="Palatino Linotype"/>
          <w:sz w:val="24"/>
          <w:szCs w:val="24"/>
          <w:lang w:val="tr-TR"/>
        </w:rPr>
        <w:t xml:space="preserve"> başvuruyu dayanaktan yoksun bularak reddetmiş ve Aydın Yavuz ve diğerleri kararına atıf yapmıştır. Başvurucu </w:t>
      </w:r>
      <w:proofErr w:type="gramStart"/>
      <w:r>
        <w:rPr>
          <w:rFonts w:ascii="Palatino Linotype" w:hAnsi="Palatino Linotype"/>
          <w:sz w:val="24"/>
          <w:szCs w:val="24"/>
          <w:lang w:val="tr-TR"/>
        </w:rPr>
        <w:t>11/01/2018’de</w:t>
      </w:r>
      <w:proofErr w:type="gramEnd"/>
      <w:r>
        <w:rPr>
          <w:rFonts w:ascii="Palatino Linotype" w:hAnsi="Palatino Linotype"/>
          <w:sz w:val="24"/>
          <w:szCs w:val="24"/>
          <w:lang w:val="tr-TR"/>
        </w:rPr>
        <w:t xml:space="preserve"> yapılan üçüncü duruşmada serbest bırakılmıştır. Yargılama aşamasında dosyaya BTK verileri girmiştir. BTK verilerine göre başvurucu, </w:t>
      </w:r>
      <w:proofErr w:type="gramStart"/>
      <w:r>
        <w:rPr>
          <w:rFonts w:ascii="Palatino Linotype" w:hAnsi="Palatino Linotype"/>
          <w:sz w:val="24"/>
          <w:szCs w:val="24"/>
          <w:lang w:val="tr-TR"/>
        </w:rPr>
        <w:t>09/10/2014</w:t>
      </w:r>
      <w:proofErr w:type="gramEnd"/>
      <w:r>
        <w:rPr>
          <w:rFonts w:ascii="Palatino Linotype" w:hAnsi="Palatino Linotype"/>
          <w:sz w:val="24"/>
          <w:szCs w:val="24"/>
          <w:lang w:val="tr-TR"/>
        </w:rPr>
        <w:t xml:space="preserve"> ila 28/5/2015 tarihleri arasında 2346 kez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sunucusuna bağlantı yapmıştır. </w:t>
      </w:r>
      <w:proofErr w:type="gramStart"/>
      <w:r>
        <w:rPr>
          <w:rFonts w:ascii="Palatino Linotype" w:hAnsi="Palatino Linotype"/>
          <w:sz w:val="24"/>
          <w:szCs w:val="24"/>
          <w:lang w:val="tr-TR"/>
        </w:rPr>
        <w:t>10/9/2020</w:t>
      </w:r>
      <w:proofErr w:type="gramEnd"/>
      <w:r>
        <w:rPr>
          <w:rFonts w:ascii="Palatino Linotype" w:hAnsi="Palatino Linotype"/>
          <w:sz w:val="24"/>
          <w:szCs w:val="24"/>
          <w:lang w:val="tr-TR"/>
        </w:rPr>
        <w:t xml:space="preserve"> tarihi itibarıyla halen Ankara 22. Ağır Ceza Mahkemesi’nde yargılaması devam etmektedir.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Avrupa İnsan Hakları Mahkemesi (AİHM),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ile ilgili ilk olarak HSYK Genel Kurulu’nun </w:t>
      </w:r>
      <w:r>
        <w:rPr>
          <w:rFonts w:ascii="Palatino Linotype" w:eastAsia="Times New Roman" w:hAnsi="Palatino Linotype" w:cs="Times New Roman"/>
          <w:color w:val="222222"/>
          <w:sz w:val="24"/>
          <w:szCs w:val="24"/>
          <w:lang w:val="tr-TR" w:eastAsia="tr-TR"/>
        </w:rPr>
        <w:t xml:space="preserve">bazı </w:t>
      </w:r>
      <w:proofErr w:type="gramStart"/>
      <w:r>
        <w:rPr>
          <w:rFonts w:ascii="Palatino Linotype" w:eastAsia="Times New Roman" w:hAnsi="Palatino Linotype" w:cs="Times New Roman"/>
          <w:color w:val="222222"/>
          <w:sz w:val="24"/>
          <w:szCs w:val="24"/>
          <w:lang w:val="tr-TR" w:eastAsia="tr-TR"/>
        </w:rPr>
        <w:t>hakim</w:t>
      </w:r>
      <w:proofErr w:type="gramEnd"/>
      <w:r>
        <w:rPr>
          <w:rFonts w:ascii="Palatino Linotype" w:eastAsia="Times New Roman" w:hAnsi="Palatino Linotype" w:cs="Times New Roman"/>
          <w:color w:val="222222"/>
          <w:sz w:val="24"/>
          <w:szCs w:val="24"/>
          <w:lang w:val="tr-TR" w:eastAsia="tr-TR"/>
        </w:rPr>
        <w:t xml:space="preserve"> ve savcıların meslekten çıkarılmasına ilişkin </w:t>
      </w:r>
      <w:r>
        <w:rPr>
          <w:rFonts w:ascii="Palatino Linotype" w:hAnsi="Palatino Linotype"/>
          <w:sz w:val="24"/>
          <w:szCs w:val="24"/>
          <w:lang w:val="tr-TR"/>
        </w:rPr>
        <w:t xml:space="preserve">kararlarına ve MGK kararlarına atıf, Meclis Soruşturma Komisyonu raporundan da alıntı yapmış ve sonrasında da teknik raporları incelemiştir. Bu kapsamda, ilk olarak MİT tarafından hazırlanan teknik raporu incelemiş ve bu rapordan </w:t>
      </w:r>
      <w:r>
        <w:rPr>
          <w:rFonts w:ascii="Palatino Linotype" w:hAnsi="Palatino Linotype"/>
          <w:i/>
          <w:sz w:val="24"/>
          <w:szCs w:val="24"/>
          <w:lang w:val="tr-TR"/>
        </w:rPr>
        <w:t>“MİT tarafından hazırlanan tarihsiz rapor”</w:t>
      </w:r>
      <w:r>
        <w:rPr>
          <w:rFonts w:ascii="Palatino Linotype" w:hAnsi="Palatino Linotype"/>
          <w:sz w:val="24"/>
          <w:szCs w:val="24"/>
          <w:lang w:val="tr-TR"/>
        </w:rPr>
        <w:t xml:space="preserve"> olarak bahsetmiştir. Sonra, Emniyetin hazırladığı Nisan 2020 tarihli analiz raporu ile Adalet Bakanlığı tarafından temin edilen </w:t>
      </w:r>
      <w:proofErr w:type="gramStart"/>
      <w:r>
        <w:rPr>
          <w:rFonts w:ascii="Palatino Linotype" w:hAnsi="Palatino Linotype"/>
          <w:sz w:val="24"/>
          <w:szCs w:val="24"/>
          <w:lang w:val="tr-TR"/>
        </w:rPr>
        <w:t>10/7/2020</w:t>
      </w:r>
      <w:proofErr w:type="gramEnd"/>
      <w:r>
        <w:rPr>
          <w:rFonts w:ascii="Palatino Linotype" w:hAnsi="Palatino Linotype"/>
          <w:sz w:val="24"/>
          <w:szCs w:val="24"/>
          <w:lang w:val="tr-TR"/>
        </w:rPr>
        <w:t xml:space="preserve"> tarihli </w:t>
      </w:r>
      <w:proofErr w:type="spellStart"/>
      <w:r>
        <w:rPr>
          <w:rFonts w:ascii="Palatino Linotype" w:hAnsi="Palatino Linotype"/>
          <w:sz w:val="24"/>
          <w:szCs w:val="24"/>
          <w:lang w:val="tr-TR"/>
        </w:rPr>
        <w:t>Adeo</w:t>
      </w:r>
      <w:proofErr w:type="spellEnd"/>
      <w:r>
        <w:rPr>
          <w:rFonts w:ascii="Palatino Linotype" w:hAnsi="Palatino Linotype"/>
          <w:sz w:val="24"/>
          <w:szCs w:val="24"/>
          <w:lang w:val="tr-TR"/>
        </w:rPr>
        <w:t xml:space="preserve"> IT </w:t>
      </w:r>
      <w:proofErr w:type="spellStart"/>
      <w:r>
        <w:rPr>
          <w:rFonts w:ascii="Palatino Linotype" w:hAnsi="Palatino Linotype"/>
          <w:sz w:val="24"/>
          <w:szCs w:val="24"/>
          <w:lang w:val="tr-TR"/>
        </w:rPr>
        <w:t>Consulting</w:t>
      </w:r>
      <w:proofErr w:type="spellEnd"/>
      <w:r>
        <w:rPr>
          <w:rFonts w:ascii="Palatino Linotype" w:hAnsi="Palatino Linotype"/>
          <w:sz w:val="24"/>
          <w:szCs w:val="24"/>
          <w:lang w:val="tr-TR"/>
        </w:rPr>
        <w:t xml:space="preserve"> </w:t>
      </w:r>
      <w:proofErr w:type="spellStart"/>
      <w:r>
        <w:rPr>
          <w:rFonts w:ascii="Palatino Linotype" w:hAnsi="Palatino Linotype"/>
          <w:sz w:val="24"/>
          <w:szCs w:val="24"/>
          <w:lang w:val="tr-TR"/>
        </w:rPr>
        <w:t>Services</w:t>
      </w:r>
      <w:proofErr w:type="spellEnd"/>
      <w:r>
        <w:rPr>
          <w:rFonts w:ascii="Palatino Linotype" w:hAnsi="Palatino Linotype"/>
          <w:sz w:val="24"/>
          <w:szCs w:val="24"/>
          <w:lang w:val="tr-TR"/>
        </w:rPr>
        <w:t xml:space="preserve"> raporuna değinmiş ve 21/8/2020 tarihli Adalet Bakanlığının temin ettiği “</w:t>
      </w:r>
      <w:proofErr w:type="spellStart"/>
      <w:r>
        <w:rPr>
          <w:rFonts w:ascii="Palatino Linotype" w:hAnsi="Palatino Linotype"/>
          <w:sz w:val="24"/>
          <w:szCs w:val="24"/>
          <w:lang w:val="tr-TR"/>
        </w:rPr>
        <w:t>d’IntaForensics</w:t>
      </w:r>
      <w:proofErr w:type="spellEnd"/>
      <w:r>
        <w:rPr>
          <w:rFonts w:ascii="Palatino Linotype" w:hAnsi="Palatino Linotype"/>
          <w:sz w:val="24"/>
          <w:szCs w:val="24"/>
          <w:lang w:val="tr-TR"/>
        </w:rPr>
        <w:t>” raporundan alıntı yapmıştır.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Bu rapor ve analizlere, tarafların sunduğu raporlar başlığı altında yer vermiş, ancak başvurucu hiçbir şey sunmadığından, alıntı yapılan rapor ve belgeler Hükümetin tek taraflı belgeleri olarak kalmıştır. Bu raporlardan alıntılan yerlerde,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Gülen Hareketi mensupları tarafından münhasıran kullanılan bir program olduğu mesajı verilmeye çalışılmıştır. Yine, Yargıtay 16. Ceza Dairesinin </w:t>
      </w:r>
      <w:proofErr w:type="gramStart"/>
      <w:r>
        <w:rPr>
          <w:rFonts w:ascii="Palatino Linotype" w:hAnsi="Palatino Linotype"/>
          <w:sz w:val="24"/>
          <w:szCs w:val="24"/>
          <w:lang w:val="tr-TR"/>
        </w:rPr>
        <w:t>24/4/2017</w:t>
      </w:r>
      <w:proofErr w:type="gramEnd"/>
      <w:r>
        <w:rPr>
          <w:rFonts w:ascii="Palatino Linotype" w:hAnsi="Palatino Linotype"/>
          <w:sz w:val="24"/>
          <w:szCs w:val="24"/>
          <w:lang w:val="tr-TR"/>
        </w:rPr>
        <w:t xml:space="preserve"> (E.2015/3 K.2017/3) tarihli kararına değinilmiş, bu kararda özellikle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Gülen Hareketi mensuplarınca münhasıran kullanılan bir program olduğu tespitine ve bu bağlamda,  16. Ceza Dairesinin bu sonuca varmasında kullandığı argümanlara geniş şekilde yer verilmiştir. Aynı şekilde,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Aydın Yavuz ve diğerleri, M.T. (B. No 2018/10424) ve Ferhat Kara (B. No: 2018/15231) kararlarına değinilip, o karalardan uzun alıntılar yapmıştır. Bu alıntılarla ulaşılmak istenen amaç da, bu programın salt Gülen Hareketi mensuplarınca kullanıldığı mesajını vermektir.</w:t>
      </w:r>
    </w:p>
    <w:p w:rsidR="00866BBE" w:rsidRDefault="00866BBE" w:rsidP="00866BBE">
      <w:pPr>
        <w:spacing w:before="120" w:after="120" w:line="276" w:lineRule="auto"/>
        <w:jc w:val="both"/>
        <w:outlineLvl w:val="0"/>
        <w:rPr>
          <w:rFonts w:ascii="Palatino Linotype" w:hAnsi="Palatino Linotype"/>
          <w:b/>
          <w:sz w:val="24"/>
          <w:szCs w:val="24"/>
          <w:lang w:val="tr-TR"/>
        </w:rPr>
      </w:pPr>
      <w:r>
        <w:rPr>
          <w:rFonts w:ascii="Palatino Linotype" w:hAnsi="Palatino Linotype"/>
          <w:b/>
          <w:sz w:val="24"/>
          <w:szCs w:val="24"/>
          <w:lang w:val="tr-TR"/>
        </w:rPr>
        <w:lastRenderedPageBreak/>
        <w:t>II. KABUL EDİLEBİLİRLİK</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AİHM, Hükümetin </w:t>
      </w:r>
      <w:proofErr w:type="spellStart"/>
      <w:r>
        <w:rPr>
          <w:rFonts w:ascii="Palatino Linotype" w:hAnsi="Palatino Linotype"/>
          <w:sz w:val="24"/>
          <w:szCs w:val="24"/>
          <w:lang w:val="tr-TR"/>
        </w:rPr>
        <w:t>CMK’nın</w:t>
      </w:r>
      <w:proofErr w:type="spellEnd"/>
      <w:r>
        <w:rPr>
          <w:rFonts w:ascii="Palatino Linotype" w:hAnsi="Palatino Linotype"/>
          <w:sz w:val="24"/>
          <w:szCs w:val="24"/>
          <w:lang w:val="tr-TR"/>
        </w:rPr>
        <w:t xml:space="preserve"> 141. madde kapsamında yaptığı itirazını reddetmiştir.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AİHM, başvurucunun zaten </w:t>
      </w:r>
      <w:proofErr w:type="spellStart"/>
      <w:r>
        <w:rPr>
          <w:rFonts w:ascii="Palatino Linotype" w:hAnsi="Palatino Linotype"/>
          <w:sz w:val="24"/>
          <w:szCs w:val="24"/>
          <w:lang w:val="tr-TR"/>
        </w:rPr>
        <w:t>AYM'ye</w:t>
      </w:r>
      <w:proofErr w:type="spellEnd"/>
      <w:r>
        <w:rPr>
          <w:rFonts w:ascii="Palatino Linotype" w:hAnsi="Palatino Linotype"/>
          <w:sz w:val="24"/>
          <w:szCs w:val="24"/>
          <w:lang w:val="tr-TR"/>
        </w:rPr>
        <w:t xml:space="preserve"> gittiğini ve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bu </w:t>
      </w:r>
      <w:proofErr w:type="gramStart"/>
      <w:r>
        <w:rPr>
          <w:rFonts w:ascii="Palatino Linotype" w:hAnsi="Palatino Linotype"/>
          <w:sz w:val="24"/>
          <w:szCs w:val="24"/>
          <w:lang w:val="tr-TR"/>
        </w:rPr>
        <w:t>şikayetin</w:t>
      </w:r>
      <w:proofErr w:type="gramEnd"/>
      <w:r>
        <w:rPr>
          <w:rFonts w:ascii="Palatino Linotype" w:hAnsi="Palatino Linotype"/>
          <w:sz w:val="24"/>
          <w:szCs w:val="24"/>
          <w:lang w:val="tr-TR"/>
        </w:rPr>
        <w:t xml:space="preserve"> yerindeliğini inceleyerek açıkça dayanaktan yoksun bulduğunu hatırlatmış (P.115) ve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141. madde uyarınca tazminat davası açılması gerektiğine ilişkin bir tespit yapmadığına dikkat çekmiştir.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ulaştığı sonuç itibariyle de, </w:t>
      </w:r>
      <w:proofErr w:type="spellStart"/>
      <w:r>
        <w:rPr>
          <w:rFonts w:ascii="Palatino Linotype" w:hAnsi="Palatino Linotype"/>
          <w:sz w:val="24"/>
          <w:szCs w:val="24"/>
          <w:lang w:val="tr-TR"/>
        </w:rPr>
        <w:t>CMK’nın</w:t>
      </w:r>
      <w:proofErr w:type="spellEnd"/>
      <w:r>
        <w:rPr>
          <w:rFonts w:ascii="Palatino Linotype" w:hAnsi="Palatino Linotype"/>
          <w:sz w:val="24"/>
          <w:szCs w:val="24"/>
          <w:lang w:val="tr-TR"/>
        </w:rPr>
        <w:t xml:space="preserve"> 141. maddesinin başvurucu bakımından bir başarı şansı sunmadığı ve bu yolun tüketilmesi gerekmediği belirtilmiştir (P. 116).</w:t>
      </w:r>
    </w:p>
    <w:p w:rsidR="00866BBE" w:rsidRDefault="00866BBE" w:rsidP="00866BBE">
      <w:pPr>
        <w:spacing w:before="120" w:after="120" w:line="276" w:lineRule="auto"/>
        <w:jc w:val="both"/>
        <w:rPr>
          <w:rFonts w:ascii="Palatino Linotype" w:hAnsi="Palatino Linotype"/>
          <w:b/>
          <w:sz w:val="24"/>
          <w:szCs w:val="24"/>
          <w:lang w:val="tr-TR"/>
        </w:rPr>
      </w:pPr>
      <w:r>
        <w:rPr>
          <w:rFonts w:ascii="Palatino Linotype" w:hAnsi="Palatino Linotype"/>
          <w:b/>
          <w:sz w:val="24"/>
          <w:szCs w:val="24"/>
          <w:lang w:val="tr-TR"/>
        </w:rPr>
        <w:t>III. ŞİKÂYETLERİN ESASININ İNCELENMESİ</w:t>
      </w:r>
    </w:p>
    <w:p w:rsidR="00866BBE" w:rsidRDefault="00866BBE" w:rsidP="00866BBE">
      <w:pPr>
        <w:spacing w:before="120" w:after="120" w:line="276" w:lineRule="auto"/>
        <w:jc w:val="both"/>
        <w:rPr>
          <w:rFonts w:ascii="Palatino Linotype" w:eastAsia="Times New Roman" w:hAnsi="Palatino Linotype" w:cs="Times New Roman"/>
          <w:b/>
          <w:bCs/>
          <w:sz w:val="24"/>
          <w:szCs w:val="24"/>
          <w:lang w:val="tr-TR" w:eastAsia="tr-TR"/>
        </w:rPr>
      </w:pPr>
      <w:r>
        <w:rPr>
          <w:rFonts w:ascii="Palatino Linotype" w:eastAsia="Times New Roman" w:hAnsi="Palatino Linotype" w:cs="Times New Roman"/>
          <w:b/>
          <w:bCs/>
          <w:color w:val="222222"/>
          <w:sz w:val="24"/>
          <w:szCs w:val="24"/>
          <w:lang w:val="tr-TR" w:eastAsia="tr-TR"/>
        </w:rPr>
        <w:t>1. Başvurucunun Bir Suç İşlediğine Dair Makul Şüphenin </w:t>
      </w:r>
      <w:r>
        <w:rPr>
          <w:rFonts w:ascii="Palatino Linotype" w:eastAsia="Times New Roman" w:hAnsi="Palatino Linotype" w:cs="Times New Roman"/>
          <w:b/>
          <w:bCs/>
          <w:sz w:val="24"/>
          <w:szCs w:val="24"/>
          <w:lang w:val="tr-TR" w:eastAsia="tr-TR"/>
        </w:rPr>
        <w:t xml:space="preserve">Yokluğu İddiasıyla İlgili </w:t>
      </w:r>
      <w:proofErr w:type="spellStart"/>
      <w:r>
        <w:rPr>
          <w:rFonts w:ascii="Palatino Linotype" w:eastAsia="Times New Roman" w:hAnsi="Palatino Linotype" w:cs="Times New Roman"/>
          <w:b/>
          <w:bCs/>
          <w:sz w:val="24"/>
          <w:szCs w:val="24"/>
          <w:lang w:val="tr-TR" w:eastAsia="tr-TR"/>
        </w:rPr>
        <w:t>AİHM’in</w:t>
      </w:r>
      <w:proofErr w:type="spellEnd"/>
      <w:r>
        <w:rPr>
          <w:rFonts w:ascii="Palatino Linotype" w:eastAsia="Times New Roman" w:hAnsi="Palatino Linotype" w:cs="Times New Roman"/>
          <w:b/>
          <w:bCs/>
          <w:sz w:val="24"/>
          <w:szCs w:val="24"/>
          <w:lang w:val="tr-TR" w:eastAsia="tr-TR"/>
        </w:rPr>
        <w:t xml:space="preserve"> Değerlendirmesi</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Başvurucu; F. </w:t>
      </w:r>
      <w:proofErr w:type="spellStart"/>
      <w:r>
        <w:rPr>
          <w:rFonts w:ascii="Palatino Linotype" w:hAnsi="Palatino Linotype"/>
          <w:sz w:val="24"/>
          <w:szCs w:val="24"/>
          <w:lang w:val="tr-TR"/>
        </w:rPr>
        <w:t>Gülen’in</w:t>
      </w:r>
      <w:proofErr w:type="spellEnd"/>
      <w:r>
        <w:rPr>
          <w:rFonts w:ascii="Palatino Linotype" w:hAnsi="Palatino Linotype"/>
          <w:sz w:val="24"/>
          <w:szCs w:val="24"/>
          <w:lang w:val="tr-TR"/>
        </w:rPr>
        <w:t xml:space="preserve"> daha önce beraat ettiğini, Gülen Hareketinin ilk kez </w:t>
      </w:r>
      <w:proofErr w:type="gramStart"/>
      <w:r>
        <w:rPr>
          <w:rFonts w:ascii="Palatino Linotype" w:hAnsi="Palatino Linotype"/>
          <w:sz w:val="24"/>
          <w:szCs w:val="24"/>
          <w:lang w:val="tr-TR"/>
        </w:rPr>
        <w:t>15/7/2016’da</w:t>
      </w:r>
      <w:proofErr w:type="gramEnd"/>
      <w:r>
        <w:rPr>
          <w:rFonts w:ascii="Palatino Linotype" w:hAnsi="Palatino Linotype"/>
          <w:sz w:val="24"/>
          <w:szCs w:val="24"/>
          <w:lang w:val="tr-TR"/>
        </w:rPr>
        <w:t xml:space="preserve"> şiddet teşkil eden bir eylemle suçlandığını, MGK karalarında FETÖ/PDY tabirinin kullanılmadığını,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kullanım iddiasını reddettiğini, ham verilerin kendisine verilmediğini, hiçbir şüphelinin bu verileri inceleyemediğini,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kullandığı iddia edilen tarihte cemaatin terör örgütü olarak tanınmadığını, dolayısıyla tutukluluğunun suçların ve cezaların kanuniliği ilkesini ihlal ettiğini ve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kullanım iddiasını reddetmekle birlikte, bunun ifade özgürlüğünün bir kullanımı niteliğinde olduğunu ileri sürmüştür.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Hükümet; karşı savunmasında sunduğu raporlara da atıf yaparak,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üyeleri arasında gizli iletişimi sağlamak amacıyla münhasıran Gülen Hareketi mensupları tarafından kullanıldığını anlatmaya çalışmış ve ikincillik ilkesinin arkasına sığınarak, </w:t>
      </w:r>
      <w:proofErr w:type="spellStart"/>
      <w:r>
        <w:rPr>
          <w:rFonts w:ascii="Palatino Linotype" w:hAnsi="Palatino Linotype"/>
          <w:sz w:val="24"/>
          <w:szCs w:val="24"/>
          <w:lang w:val="tr-TR"/>
        </w:rPr>
        <w:t>AİHM’e</w:t>
      </w:r>
      <w:proofErr w:type="spellEnd"/>
      <w:r>
        <w:rPr>
          <w:rFonts w:ascii="Palatino Linotype" w:hAnsi="Palatino Linotype"/>
          <w:sz w:val="24"/>
          <w:szCs w:val="24"/>
          <w:lang w:val="tr-TR"/>
        </w:rPr>
        <w:t xml:space="preserve">; </w:t>
      </w:r>
      <w:r>
        <w:rPr>
          <w:rFonts w:ascii="Palatino Linotype" w:hAnsi="Palatino Linotype"/>
          <w:i/>
          <w:sz w:val="24"/>
          <w:szCs w:val="24"/>
          <w:lang w:val="tr-TR"/>
        </w:rPr>
        <w:t>“bunun değerlendirmesini yapmak senin işin değil”</w:t>
      </w:r>
      <w:r>
        <w:rPr>
          <w:rFonts w:ascii="Palatino Linotype" w:hAnsi="Palatino Linotype"/>
          <w:sz w:val="24"/>
          <w:szCs w:val="24"/>
          <w:lang w:val="tr-TR"/>
        </w:rPr>
        <w:t xml:space="preserve"> demeye çalışmıştır.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Ayrıca Hükümet, </w:t>
      </w:r>
      <w:proofErr w:type="spellStart"/>
      <w:r>
        <w:rPr>
          <w:rFonts w:ascii="Palatino Linotype" w:hAnsi="Palatino Linotype"/>
          <w:sz w:val="24"/>
          <w:szCs w:val="24"/>
          <w:lang w:val="tr-TR"/>
        </w:rPr>
        <w:t>Encro</w:t>
      </w:r>
      <w:proofErr w:type="spellEnd"/>
      <w:r>
        <w:rPr>
          <w:rFonts w:ascii="Palatino Linotype" w:hAnsi="Palatino Linotype"/>
          <w:sz w:val="24"/>
          <w:szCs w:val="24"/>
          <w:lang w:val="tr-TR"/>
        </w:rPr>
        <w:t xml:space="preserve"> Chat programı ile ilgili Avrupa çapında yürütülen operasyonu örnek göstermiş, ancak bu programdaki verilerin ele geçirilmesindeki usulsüzlüklerden dolayı Berlin Bölge Mahkemesi ve İsveç ve Hollanda gibi pek çok ülkede yargı makamlarının bu verilerin yargılamalarda kullanılamayacağına ilişkin kararlarını </w:t>
      </w:r>
      <w:proofErr w:type="spellStart"/>
      <w:r>
        <w:rPr>
          <w:rFonts w:ascii="Palatino Linotype" w:hAnsi="Palatino Linotype"/>
          <w:sz w:val="24"/>
          <w:szCs w:val="24"/>
          <w:lang w:val="tr-TR"/>
        </w:rPr>
        <w:t>AİHM’e</w:t>
      </w:r>
      <w:proofErr w:type="spellEnd"/>
      <w:r>
        <w:rPr>
          <w:rFonts w:ascii="Palatino Linotype" w:hAnsi="Palatino Linotype"/>
          <w:sz w:val="24"/>
          <w:szCs w:val="24"/>
          <w:lang w:val="tr-TR"/>
        </w:rPr>
        <w:t xml:space="preserve"> hatırlatma gereği duymamıştır.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AİHM; objektif 3. bir kişiyi ikna edecek makul şüpheyi ortaya koyan verilerin tutuklama anında </w:t>
      </w:r>
      <w:proofErr w:type="gramStart"/>
      <w:r>
        <w:rPr>
          <w:rFonts w:ascii="Palatino Linotype" w:hAnsi="Palatino Linotype"/>
          <w:sz w:val="24"/>
          <w:szCs w:val="24"/>
          <w:lang w:val="tr-TR"/>
        </w:rPr>
        <w:t>hakimin</w:t>
      </w:r>
      <w:proofErr w:type="gramEnd"/>
      <w:r>
        <w:rPr>
          <w:rFonts w:ascii="Palatino Linotype" w:hAnsi="Palatino Linotype"/>
          <w:sz w:val="24"/>
          <w:szCs w:val="24"/>
          <w:lang w:val="tr-TR"/>
        </w:rPr>
        <w:t xml:space="preserve"> erişiminde olması gerektiğini, şüphenin teyit edilebilir objektif olgu ve bilgilerle desteklenmesi gerektiğini, Selahattin </w:t>
      </w:r>
      <w:proofErr w:type="spellStart"/>
      <w:r>
        <w:rPr>
          <w:rFonts w:ascii="Palatino Linotype" w:hAnsi="Palatino Linotype"/>
          <w:sz w:val="24"/>
          <w:szCs w:val="24"/>
          <w:lang w:val="tr-TR"/>
        </w:rPr>
        <w:t>Demirtaş</w:t>
      </w:r>
      <w:proofErr w:type="spellEnd"/>
      <w:r>
        <w:rPr>
          <w:rFonts w:ascii="Palatino Linotype" w:hAnsi="Palatino Linotype"/>
          <w:sz w:val="24"/>
          <w:szCs w:val="24"/>
          <w:lang w:val="tr-TR"/>
        </w:rPr>
        <w:t xml:space="preserve"> kararına atıfla işlendiği zaman suç olmayan olgu ve eylemlerin aleyhe makul şüphe oluşturamayacağını ve tutuklama kararı verildiği sırada hakimin bilgisi ve erişimi dahilinde olan verilerle alınan kararın gerekçelendirilmesi gerektiğini belirtmiştir (P. 151-158).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lastRenderedPageBreak/>
        <w:t>AİHM, tutuklama anında makul şüphe ortaya koyan verilerin olup olmadığına ilişkin incelemesini üç aşama da yapmış ve şu sorulara cevap vermiştir;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tutuklamaya esas tek delil midir?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kullanımı kişinin FETÖ/PDY ile bağlantısını makul şekilde ortaya koymakta mıdır?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-Tutuklamaya karar veren sulh ceza </w:t>
      </w:r>
      <w:proofErr w:type="gramStart"/>
      <w:r>
        <w:rPr>
          <w:rFonts w:ascii="Palatino Linotype" w:hAnsi="Palatino Linotype"/>
          <w:sz w:val="24"/>
          <w:szCs w:val="24"/>
          <w:lang w:val="tr-TR"/>
        </w:rPr>
        <w:t>hakimi</w:t>
      </w:r>
      <w:proofErr w:type="gramEnd"/>
      <w:r>
        <w:rPr>
          <w:rFonts w:ascii="Palatino Linotype" w:hAnsi="Palatino Linotype"/>
          <w:sz w:val="24"/>
          <w:szCs w:val="24"/>
          <w:lang w:val="tr-TR"/>
        </w:rPr>
        <w:t xml:space="preserve"> karar verdiği anda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ile ilgili yeterli bilgiye sahip midir? </w:t>
      </w:r>
    </w:p>
    <w:p w:rsidR="00866BBE" w:rsidRDefault="00866BBE" w:rsidP="00866BBE">
      <w:pPr>
        <w:spacing w:before="120" w:after="120" w:line="276" w:lineRule="auto"/>
        <w:jc w:val="both"/>
        <w:rPr>
          <w:rFonts w:ascii="Palatino Linotype" w:hAnsi="Palatino Linotype"/>
          <w:sz w:val="24"/>
          <w:szCs w:val="24"/>
          <w:lang w:val="tr-TR"/>
        </w:rPr>
      </w:pPr>
      <w:proofErr w:type="spellStart"/>
      <w:r>
        <w:rPr>
          <w:rFonts w:ascii="Palatino Linotype" w:hAnsi="Palatino Linotype"/>
          <w:sz w:val="24"/>
          <w:szCs w:val="24"/>
          <w:lang w:val="tr-TR"/>
        </w:rPr>
        <w:t>AİHM’e</w:t>
      </w:r>
      <w:proofErr w:type="spellEnd"/>
      <w:r>
        <w:rPr>
          <w:rFonts w:ascii="Palatino Linotype" w:hAnsi="Palatino Linotype"/>
          <w:sz w:val="24"/>
          <w:szCs w:val="24"/>
          <w:lang w:val="tr-TR"/>
        </w:rPr>
        <w:t xml:space="preserve"> göre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kullanım iddiası tutuklamaya esas tek delildir (P. 166).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Mahkeme; başvurucunun örgütlü suçla suçlandığını not edip, münhasıran üyeleri tarafından kullanılmak üzere geliştirilen bir uygulama verilerinin örgütlü suçlarla mücadelede önemli bir araç olabileceğini ve böyle bir delilin kişinin o örgütün üyesi olduğuna dair güçlü bir temel teşkil edebileceğini belirtmiştir. Bununla birlikte, şüpheli aleyhindeki tek delilin elektronik bir delil olması durumunda, </w:t>
      </w:r>
      <w:proofErr w:type="gramStart"/>
      <w:r>
        <w:rPr>
          <w:rFonts w:ascii="Palatino Linotype" w:hAnsi="Palatino Linotype"/>
          <w:sz w:val="24"/>
          <w:szCs w:val="24"/>
          <w:lang w:val="tr-TR"/>
        </w:rPr>
        <w:t>hakimin</w:t>
      </w:r>
      <w:proofErr w:type="gramEnd"/>
      <w:r>
        <w:rPr>
          <w:rFonts w:ascii="Palatino Linotype" w:hAnsi="Palatino Linotype"/>
          <w:sz w:val="24"/>
          <w:szCs w:val="24"/>
          <w:lang w:val="tr-TR"/>
        </w:rPr>
        <w:t xml:space="preserve"> öncelikle bunun delil niteliği hakkında dikkatli değerlendirme yapmasına imkan verecek yeterli bilgiye sahip olması gerekir (P. 167).</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AİHM, başvurucunun talep edilmesine rağmen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ile ilgili ilave bir bilgi sunmadığını, Hükümetin farklı rapor ve karalar sunduğunu, ancak tutuklama kararlarından sonraki rapor ve verileri dikkate almadığını belirtmiştir. Yani AİHM; </w:t>
      </w:r>
      <w:r>
        <w:rPr>
          <w:rFonts w:ascii="Palatino Linotype" w:hAnsi="Palatino Linotype"/>
          <w:i/>
          <w:sz w:val="24"/>
          <w:szCs w:val="24"/>
          <w:lang w:val="tr-TR"/>
        </w:rPr>
        <w:t>“tutuklulukla ilgili makul şüphe değerlendirmesi yaparken karar anında mevcut olan bilgi ve olgulara bakarım, bu tarihten sonrakileri değerlendirmem”</w:t>
      </w:r>
      <w:r>
        <w:rPr>
          <w:rFonts w:ascii="Palatino Linotype" w:hAnsi="Palatino Linotype"/>
          <w:sz w:val="24"/>
          <w:szCs w:val="24"/>
          <w:lang w:val="tr-TR"/>
        </w:rPr>
        <w:t xml:space="preserve"> demiştir.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Yine AİHM, Hükmet savunmasında belirtilen; </w:t>
      </w:r>
      <w:proofErr w:type="gramStart"/>
      <w:r>
        <w:rPr>
          <w:rFonts w:ascii="Palatino Linotype" w:hAnsi="Palatino Linotype"/>
          <w:sz w:val="24"/>
          <w:szCs w:val="24"/>
          <w:lang w:val="tr-TR"/>
        </w:rPr>
        <w:t>hakimlerin</w:t>
      </w:r>
      <w:proofErr w:type="gramEnd"/>
      <w:r>
        <w:rPr>
          <w:rFonts w:ascii="Palatino Linotype" w:hAnsi="Palatino Linotype"/>
          <w:sz w:val="24"/>
          <w:szCs w:val="24"/>
          <w:lang w:val="tr-TR"/>
        </w:rPr>
        <w:t xml:space="preserv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hakkında yeterli bilgi sahip olduklarına ilişkin argümanını kabul etmediği gibi dosya kapsamı dışındaki verilerin hakimlerce bilindiğinin de kabul edilemeyeceğini belirtmiştir (P. 170).</w:t>
      </w:r>
    </w:p>
    <w:p w:rsidR="00866BBE" w:rsidRDefault="00866BBE" w:rsidP="00866BBE">
      <w:pPr>
        <w:shd w:val="clear" w:color="auto" w:fill="FFFFFF"/>
        <w:spacing w:before="120" w:after="120" w:line="276" w:lineRule="auto"/>
        <w:jc w:val="both"/>
        <w:rPr>
          <w:rFonts w:ascii="Palatino Linotype" w:eastAsia="Times New Roman" w:hAnsi="Palatino Linotype" w:cs="Arial"/>
          <w:color w:val="222222"/>
          <w:sz w:val="24"/>
          <w:szCs w:val="24"/>
          <w:lang w:val="tr-TR" w:eastAsia="tr-TR"/>
        </w:rPr>
      </w:pPr>
      <w:r>
        <w:rPr>
          <w:rFonts w:ascii="Palatino Linotype" w:hAnsi="Palatino Linotype"/>
          <w:sz w:val="24"/>
          <w:szCs w:val="24"/>
          <w:lang w:val="tr-TR"/>
        </w:rPr>
        <w:t xml:space="preserve">AİHM, </w:t>
      </w:r>
      <w:proofErr w:type="spellStart"/>
      <w:r>
        <w:rPr>
          <w:rFonts w:ascii="Palatino Linotype" w:hAnsi="Palatino Linotype"/>
          <w:sz w:val="24"/>
          <w:szCs w:val="24"/>
          <w:lang w:val="tr-TR"/>
        </w:rPr>
        <w:t>HSYK’nın</w:t>
      </w:r>
      <w:proofErr w:type="spellEnd"/>
      <w:r>
        <w:rPr>
          <w:rFonts w:ascii="Palatino Linotype" w:hAnsi="Palatino Linotype"/>
          <w:sz w:val="24"/>
          <w:szCs w:val="24"/>
          <w:lang w:val="tr-TR"/>
        </w:rPr>
        <w:t xml:space="preserve"> ihraç karalarında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ile ilgili tespitlere belli bir ağırlık verdiğini belirtmiş fakat bu kararlarda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münhasıran FETÖ/PDY üyelerince kullanıldığına dair bir değerlendirmeye yer verilmediğinin de altını çizmiştir. Ayrıca önemli bir hususa vurgu yapmış ve sırf </w:t>
      </w:r>
      <w:r>
        <w:rPr>
          <w:rFonts w:ascii="Palatino Linotype" w:eastAsia="Times New Roman" w:hAnsi="Palatino Linotype" w:cs="Times New Roman"/>
          <w:color w:val="222222"/>
          <w:sz w:val="24"/>
          <w:szCs w:val="24"/>
          <w:lang w:val="tr-TR" w:eastAsia="tr-TR"/>
        </w:rPr>
        <w:t>şifreli bir iletişim uygulamasının indirilmesi veya kullanılması ya da gönderilen mesajların gizliliğini koruyacak diğer bir koruma yönteminin kullanılmasının tek başına bu iletişim programının yasadışı veya suç eylemi olduğunu ispat etmeye yetmeyeceğini belirtmiştir. Şifreli iletişim metodunun kullanımının, gönderilen mesajların içeriği, gönderildikleri bağlam ya da buna ilişkin diğer unsurlarla desteklenmesi halinde; kullanıcının bir suç örgütünün üyesi olduğundan şüphelenilebilecek makul bir gerekçenin bulunduğundan bahsedilebilecektir (P. 173).</w:t>
      </w:r>
    </w:p>
    <w:p w:rsidR="00866BBE" w:rsidRDefault="00866BBE" w:rsidP="00866BBE">
      <w:pPr>
        <w:spacing w:before="120" w:after="120" w:line="276" w:lineRule="auto"/>
        <w:jc w:val="both"/>
        <w:rPr>
          <w:rFonts w:ascii="Palatino Linotype" w:hAnsi="Palatino Linotype"/>
          <w:color w:val="222222"/>
          <w:sz w:val="24"/>
          <w:szCs w:val="24"/>
          <w:shd w:val="clear" w:color="auto" w:fill="FFFFFF"/>
          <w:lang w:val="tr-TR"/>
        </w:rPr>
      </w:pPr>
      <w:proofErr w:type="spellStart"/>
      <w:r>
        <w:rPr>
          <w:rFonts w:ascii="Palatino Linotype" w:hAnsi="Palatino Linotype"/>
          <w:color w:val="222222"/>
          <w:sz w:val="24"/>
          <w:szCs w:val="24"/>
          <w:shd w:val="clear" w:color="auto" w:fill="FFFFFF"/>
          <w:lang w:val="tr-TR"/>
        </w:rPr>
        <w:lastRenderedPageBreak/>
        <w:t>AİHM’e</w:t>
      </w:r>
      <w:proofErr w:type="spellEnd"/>
      <w:r>
        <w:rPr>
          <w:rFonts w:ascii="Palatino Linotype" w:hAnsi="Palatino Linotype"/>
          <w:color w:val="222222"/>
          <w:sz w:val="24"/>
          <w:szCs w:val="24"/>
          <w:shd w:val="clear" w:color="auto" w:fill="FFFFFF"/>
          <w:lang w:val="tr-TR"/>
        </w:rPr>
        <w:t xml:space="preserve"> göre, bu başvuru bağlamında tutuklama kararı veren sulh ceza </w:t>
      </w:r>
      <w:proofErr w:type="gramStart"/>
      <w:r>
        <w:rPr>
          <w:rFonts w:ascii="Palatino Linotype" w:hAnsi="Palatino Linotype"/>
          <w:color w:val="222222"/>
          <w:sz w:val="24"/>
          <w:szCs w:val="24"/>
          <w:shd w:val="clear" w:color="auto" w:fill="FFFFFF"/>
          <w:lang w:val="tr-TR"/>
        </w:rPr>
        <w:t>hakiminin</w:t>
      </w:r>
      <w:proofErr w:type="gramEnd"/>
      <w:r>
        <w:rPr>
          <w:rFonts w:ascii="Palatino Linotype" w:hAnsi="Palatino Linotype"/>
          <w:color w:val="222222"/>
          <w:sz w:val="24"/>
          <w:szCs w:val="24"/>
          <w:shd w:val="clear" w:color="auto" w:fill="FFFFFF"/>
          <w:lang w:val="tr-TR"/>
        </w:rPr>
        <w:t xml:space="preserve"> elinde bu programın o tarihte (17/10/2016) münhasıran Gülen Hareketi mensupları tarafından kullanıldığına ilişkin bir bilgi ve veri yoktur (P. 174). Ayrıca, bu başvuruda başvurucuya atılı suçlamaya ilişkin makul şüphe sebepleri tutuklama kararlarında ortaya konamamıştır. </w:t>
      </w:r>
    </w:p>
    <w:p w:rsidR="00866BBE" w:rsidRDefault="00866BBE" w:rsidP="00866BBE">
      <w:pPr>
        <w:spacing w:before="120" w:after="120" w:line="276" w:lineRule="auto"/>
        <w:jc w:val="both"/>
        <w:rPr>
          <w:rFonts w:ascii="Palatino Linotype" w:hAnsi="Palatino Linotype"/>
          <w:color w:val="222222"/>
          <w:sz w:val="24"/>
          <w:szCs w:val="24"/>
          <w:shd w:val="clear" w:color="auto" w:fill="FFFFFF"/>
          <w:lang w:val="tr-TR"/>
        </w:rPr>
      </w:pPr>
      <w:r>
        <w:rPr>
          <w:rFonts w:ascii="Palatino Linotype" w:hAnsi="Palatino Linotype"/>
          <w:color w:val="222222"/>
          <w:sz w:val="24"/>
          <w:szCs w:val="24"/>
          <w:shd w:val="clear" w:color="auto" w:fill="FFFFFF"/>
          <w:lang w:val="tr-TR"/>
        </w:rPr>
        <w:t xml:space="preserve">AİHM, ne tutukluluğa itirazı inceleyen mahkemenin, ne de </w:t>
      </w:r>
      <w:r>
        <w:rPr>
          <w:rFonts w:ascii="Palatino Linotype" w:eastAsia="Times New Roman" w:hAnsi="Palatino Linotype" w:cs="Times New Roman"/>
          <w:color w:val="222222"/>
          <w:sz w:val="24"/>
          <w:szCs w:val="24"/>
          <w:lang w:val="tr-TR" w:eastAsia="tr-TR"/>
        </w:rPr>
        <w:t>başvurucu hakkındaki şüpheyi haklı kılmak için tutuklanmasından çok sonraki bir işlem olan 6 Haziran 2017 tarihli iddianameye atıfta bulunarak bireysel başvuruyu reddeden</w:t>
      </w:r>
      <w:r>
        <w:rPr>
          <w:rFonts w:ascii="Palatino Linotype" w:hAnsi="Palatino Linotype"/>
          <w:color w:val="222222"/>
          <w:sz w:val="24"/>
          <w:szCs w:val="24"/>
          <w:shd w:val="clear" w:color="auto" w:fill="FFFFFF"/>
          <w:lang w:val="tr-TR"/>
        </w:rPr>
        <w:t xml:space="preserve"> </w:t>
      </w:r>
      <w:proofErr w:type="spellStart"/>
      <w:r>
        <w:rPr>
          <w:rFonts w:ascii="Palatino Linotype" w:hAnsi="Palatino Linotype"/>
          <w:color w:val="222222"/>
          <w:sz w:val="24"/>
          <w:szCs w:val="24"/>
          <w:shd w:val="clear" w:color="auto" w:fill="FFFFFF"/>
          <w:lang w:val="tr-TR"/>
        </w:rPr>
        <w:t>AYM’nin</w:t>
      </w:r>
      <w:proofErr w:type="spellEnd"/>
      <w:r>
        <w:rPr>
          <w:rFonts w:ascii="Palatino Linotype" w:hAnsi="Palatino Linotype"/>
          <w:color w:val="222222"/>
          <w:sz w:val="24"/>
          <w:szCs w:val="24"/>
          <w:shd w:val="clear" w:color="auto" w:fill="FFFFFF"/>
          <w:lang w:val="tr-TR"/>
        </w:rPr>
        <w:t xml:space="preserve"> makul şüphe bağlamında yeterli bir inceleme yapmadıklarını belirtmiştir (P. 176). </w:t>
      </w:r>
    </w:p>
    <w:p w:rsidR="00866BBE" w:rsidRDefault="00866BBE" w:rsidP="00866BBE">
      <w:pPr>
        <w:spacing w:before="120" w:after="120" w:line="276" w:lineRule="auto"/>
        <w:jc w:val="both"/>
        <w:rPr>
          <w:rFonts w:ascii="Palatino Linotype" w:hAnsi="Palatino Linotype"/>
          <w:color w:val="222222"/>
          <w:sz w:val="24"/>
          <w:szCs w:val="24"/>
          <w:shd w:val="clear" w:color="auto" w:fill="FFFFFF"/>
          <w:lang w:val="tr-TR"/>
        </w:rPr>
      </w:pPr>
      <w:r>
        <w:rPr>
          <w:rFonts w:ascii="Palatino Linotype" w:hAnsi="Palatino Linotype"/>
          <w:color w:val="222222"/>
          <w:sz w:val="24"/>
          <w:szCs w:val="24"/>
          <w:shd w:val="clear" w:color="auto" w:fill="FFFFFF"/>
          <w:lang w:val="tr-TR"/>
        </w:rPr>
        <w:t>AİHM, başvurucunun FETÖ/PDY üyeliği suçunu işlendiğinden şüphelenilmesinin yegâne temelinin Ankara Cumhuriyet Başsavcılığının başvurucunun aktif kullanıcı olduğunu gösteren kırmızı listede olduğuna ilişkin tespiti olduğunun altını çizmiştir. Ancak bu, hangi temelde ve özellikle yetkililerin bu sonuca hangi tarihte ulaştığına yönelik herhangi bir belirti veya açıklama taşımayan teorik bir tespittir. Dolayısıyla anılan belge, üzerine bina edildiği dayanak bilgileri içermemekte ve bu verilerin nasıl tespit edildiğine ilişkin bilgi vermemektedir. Bu itibarla ulusal mahkemeler, hazırlayanı belli olmayan, tek sayfalık, tarihsiz bu yegâne belgeye dayanmıştır (P. 178).</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s="Arial"/>
          <w:color w:val="222222"/>
          <w:lang w:val="tr-TR"/>
        </w:rPr>
      </w:pPr>
      <w:proofErr w:type="spellStart"/>
      <w:r>
        <w:rPr>
          <w:rFonts w:ascii="Palatino Linotype" w:hAnsi="Palatino Linotype"/>
          <w:color w:val="222222"/>
          <w:lang w:val="tr-TR"/>
        </w:rPr>
        <w:t>AİHM’e</w:t>
      </w:r>
      <w:proofErr w:type="spellEnd"/>
      <w:r>
        <w:rPr>
          <w:rFonts w:ascii="Palatino Linotype" w:hAnsi="Palatino Linotype"/>
          <w:color w:val="222222"/>
          <w:lang w:val="tr-TR"/>
        </w:rPr>
        <w:t xml:space="preserve"> göre bu belge, başvurucunun yasadışı herhangi faaliyetini belirlememekte veya bunu kanıtlamamaktadır. </w:t>
      </w:r>
      <w:r>
        <w:rPr>
          <w:rFonts w:ascii="Palatino Linotype" w:hAnsi="Palatino Linotype"/>
          <w:color w:val="222222"/>
          <w:lang w:val="tr-TR" w:eastAsia="tr-TR"/>
        </w:rPr>
        <w:t xml:space="preserve">İddia edilen yasadışı faaliyetlerin tarihini veya sıklığını belirtmemekte ya da başvurucunun </w:t>
      </w:r>
      <w:proofErr w:type="spellStart"/>
      <w:r>
        <w:rPr>
          <w:rFonts w:ascii="Palatino Linotype" w:hAnsi="Palatino Linotype"/>
          <w:color w:val="222222"/>
          <w:lang w:val="tr-TR" w:eastAsia="tr-TR"/>
        </w:rPr>
        <w:t>Bylock</w:t>
      </w:r>
      <w:proofErr w:type="spellEnd"/>
      <w:r>
        <w:rPr>
          <w:rFonts w:ascii="Palatino Linotype" w:hAnsi="Palatino Linotype"/>
          <w:color w:val="222222"/>
          <w:lang w:val="tr-TR" w:eastAsia="tr-TR"/>
        </w:rPr>
        <w:t xml:space="preserve"> kullanıcılığı isnadının onun örgüt üyesi olduğunu nasıl gösterdiğini açıklamamaktadır (P. 180).</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s="Arial"/>
          <w:color w:val="222222"/>
          <w:lang w:val="tr-TR"/>
        </w:rPr>
      </w:pPr>
      <w:r>
        <w:rPr>
          <w:rFonts w:ascii="Palatino Linotype" w:hAnsi="Palatino Linotype"/>
          <w:color w:val="222222"/>
          <w:lang w:val="tr-TR"/>
        </w:rPr>
        <w:t xml:space="preserve">Sonuç olarak AİHM, diğer bilgi ve belgenin yokluğunda, başvurucunun </w:t>
      </w:r>
      <w:proofErr w:type="spellStart"/>
      <w:r>
        <w:rPr>
          <w:rFonts w:ascii="Palatino Linotype" w:hAnsi="Palatino Linotype"/>
          <w:color w:val="222222"/>
          <w:lang w:val="tr-TR"/>
        </w:rPr>
        <w:t>Bylock</w:t>
      </w:r>
      <w:proofErr w:type="spellEnd"/>
      <w:r>
        <w:rPr>
          <w:rFonts w:ascii="Palatino Linotype" w:hAnsi="Palatino Linotype"/>
          <w:color w:val="222222"/>
          <w:lang w:val="tr-TR"/>
        </w:rPr>
        <w:t xml:space="preserve"> kullandığını belirten bahse konu belgenin başvurucunun kendisine yöneltilen suçu oluşturacak şekilde bu uygulamayı kullandığına tarafsız bir gözlemciyi ikna edebilecek makul şüphenin bulunduğuna işaret edemeyeceğini değerlendirmiştir (P. 181).</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olor w:val="222222"/>
          <w:lang w:val="tr-TR"/>
        </w:rPr>
      </w:pPr>
      <w:r>
        <w:rPr>
          <w:rFonts w:ascii="Palatino Linotype" w:hAnsi="Palatino Linotype"/>
          <w:color w:val="222222"/>
          <w:lang w:val="tr-TR"/>
        </w:rPr>
        <w:t xml:space="preserve">AİHM, başvurucunun tutuklandığı anda sulh ceza </w:t>
      </w:r>
      <w:proofErr w:type="gramStart"/>
      <w:r>
        <w:rPr>
          <w:rFonts w:ascii="Palatino Linotype" w:hAnsi="Palatino Linotype"/>
          <w:color w:val="222222"/>
          <w:lang w:val="tr-TR"/>
        </w:rPr>
        <w:t>hakimliğinin</w:t>
      </w:r>
      <w:proofErr w:type="gramEnd"/>
      <w:r>
        <w:rPr>
          <w:rFonts w:ascii="Palatino Linotype" w:hAnsi="Palatino Linotype"/>
          <w:color w:val="222222"/>
          <w:lang w:val="tr-TR"/>
        </w:rPr>
        <w:t xml:space="preserve"> elindeki delillerin </w:t>
      </w:r>
      <w:r>
        <w:rPr>
          <w:rFonts w:ascii="Palatino Linotype" w:hAnsi="Palatino Linotype"/>
          <w:i/>
          <w:color w:val="222222"/>
          <w:lang w:val="tr-TR"/>
        </w:rPr>
        <w:t>“makul şüphe”</w:t>
      </w:r>
      <w:r>
        <w:rPr>
          <w:rFonts w:ascii="Palatino Linotype" w:hAnsi="Palatino Linotype"/>
          <w:color w:val="222222"/>
          <w:lang w:val="tr-TR"/>
        </w:rPr>
        <w:t xml:space="preserve"> gereğini karşılamadığı ve böylelikle başvurucunun isnat edilen suçu işlemiş olabileceğine tarafsız bir gözlemciyi ikna edemeyeceği sonucuna ulaşmıştır (P. 182). </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olor w:val="000000"/>
          <w:lang w:val="tr-TR"/>
        </w:rPr>
      </w:pPr>
      <w:r>
        <w:rPr>
          <w:rFonts w:ascii="Palatino Linotype" w:hAnsi="Palatino Linotype"/>
          <w:color w:val="000000"/>
          <w:lang w:val="tr-TR"/>
        </w:rPr>
        <w:t>Dolayısıyla, tutuklandığı zaman başvurucunun bir suç işlediğine dair makul şüphenin mevcut olmaması nedeniyle 5/1 madde ihlal edilmiştir (P. 185).</w:t>
      </w:r>
    </w:p>
    <w:p w:rsidR="00866BBE" w:rsidRDefault="00866BBE" w:rsidP="00866BBE">
      <w:pPr>
        <w:keepNext/>
        <w:spacing w:before="120" w:after="120" w:line="276" w:lineRule="auto"/>
        <w:jc w:val="both"/>
        <w:rPr>
          <w:rFonts w:ascii="Palatino Linotype" w:eastAsia="Times New Roman" w:hAnsi="Palatino Linotype" w:cs="Times New Roman"/>
          <w:b/>
          <w:bCs/>
          <w:sz w:val="24"/>
          <w:szCs w:val="24"/>
          <w:lang w:val="tr-TR" w:eastAsia="tr-TR"/>
        </w:rPr>
      </w:pPr>
      <w:r>
        <w:rPr>
          <w:rFonts w:ascii="Palatino Linotype" w:eastAsia="Times New Roman" w:hAnsi="Palatino Linotype" w:cs="Times New Roman"/>
          <w:b/>
          <w:bCs/>
          <w:color w:val="000000"/>
          <w:sz w:val="24"/>
          <w:szCs w:val="24"/>
          <w:lang w:val="tr-TR" w:eastAsia="tr-TR"/>
        </w:rPr>
        <w:lastRenderedPageBreak/>
        <w:t xml:space="preserve">2. Tutuklamayı Haklı Kılacak İlgili Gerekçenin Yokluğu İddiasıyla İlgili </w:t>
      </w:r>
      <w:proofErr w:type="spellStart"/>
      <w:r>
        <w:rPr>
          <w:rFonts w:ascii="Palatino Linotype" w:eastAsia="Times New Roman" w:hAnsi="Palatino Linotype" w:cs="Times New Roman"/>
          <w:b/>
          <w:bCs/>
          <w:sz w:val="24"/>
          <w:szCs w:val="24"/>
          <w:lang w:val="tr-TR" w:eastAsia="tr-TR"/>
        </w:rPr>
        <w:t>AİHM’in</w:t>
      </w:r>
      <w:proofErr w:type="spellEnd"/>
      <w:r>
        <w:rPr>
          <w:rFonts w:ascii="Palatino Linotype" w:eastAsia="Times New Roman" w:hAnsi="Palatino Linotype" w:cs="Times New Roman"/>
          <w:b/>
          <w:bCs/>
          <w:sz w:val="24"/>
          <w:szCs w:val="24"/>
          <w:lang w:val="tr-TR" w:eastAsia="tr-TR"/>
        </w:rPr>
        <w:t xml:space="preserve"> Değerlendirmesi</w:t>
      </w:r>
    </w:p>
    <w:p w:rsidR="00866BBE" w:rsidRDefault="00866BBE" w:rsidP="00866BBE">
      <w:pPr>
        <w:shd w:val="clear" w:color="auto" w:fill="FFFFFF"/>
        <w:spacing w:before="120" w:after="120" w:line="276" w:lineRule="auto"/>
        <w:jc w:val="both"/>
        <w:rPr>
          <w:rFonts w:ascii="Palatino Linotype" w:eastAsia="Times New Roman" w:hAnsi="Palatino Linotype" w:cs="Times New Roman"/>
          <w:color w:val="222222"/>
          <w:sz w:val="24"/>
          <w:szCs w:val="24"/>
          <w:lang w:val="tr-TR" w:eastAsia="tr-TR"/>
        </w:rPr>
      </w:pPr>
      <w:r>
        <w:rPr>
          <w:rFonts w:ascii="Palatino Linotype" w:eastAsia="Times New Roman" w:hAnsi="Palatino Linotype" w:cs="Times New Roman"/>
          <w:color w:val="222222"/>
          <w:sz w:val="24"/>
          <w:szCs w:val="24"/>
          <w:lang w:val="tr-TR" w:eastAsia="tr-TR"/>
        </w:rPr>
        <w:t xml:space="preserve">Tutuklamanın hukukiliği açısından kişinin bir suç işlediğine dair makul nedenlerin mevcudiyeti olmazsa olmaz bir şarttır. AİHM, tutuklama kararındaki makul şüphenin yeterince gerekçelendirilmemesi nedeniyle </w:t>
      </w:r>
      <w:proofErr w:type="spellStart"/>
      <w:r>
        <w:rPr>
          <w:rFonts w:ascii="Palatino Linotype" w:eastAsia="Times New Roman" w:hAnsi="Palatino Linotype" w:cs="Times New Roman"/>
          <w:color w:val="222222"/>
          <w:sz w:val="24"/>
          <w:szCs w:val="24"/>
          <w:lang w:val="tr-TR" w:eastAsia="tr-TR"/>
        </w:rPr>
        <w:t>AİHS’in</w:t>
      </w:r>
      <w:proofErr w:type="spellEnd"/>
      <w:r>
        <w:rPr>
          <w:rFonts w:ascii="Palatino Linotype" w:eastAsia="Times New Roman" w:hAnsi="Palatino Linotype" w:cs="Times New Roman"/>
          <w:color w:val="222222"/>
          <w:sz w:val="24"/>
          <w:szCs w:val="24"/>
          <w:lang w:val="tr-TR" w:eastAsia="tr-TR"/>
        </w:rPr>
        <w:t xml:space="preserve"> 5/3 maddesinin ihlaline (P. 191) karar vermiştir.</w:t>
      </w:r>
    </w:p>
    <w:p w:rsidR="00866BBE" w:rsidRDefault="00866BBE" w:rsidP="00866BBE">
      <w:pPr>
        <w:keepNext/>
        <w:spacing w:before="120" w:after="120" w:line="276" w:lineRule="auto"/>
        <w:jc w:val="both"/>
        <w:outlineLvl w:val="0"/>
        <w:rPr>
          <w:rFonts w:ascii="Palatino Linotype" w:eastAsia="Times New Roman" w:hAnsi="Palatino Linotype" w:cs="Times New Roman"/>
          <w:b/>
          <w:bCs/>
          <w:sz w:val="24"/>
          <w:szCs w:val="24"/>
          <w:lang w:val="tr-TR" w:eastAsia="tr-TR"/>
        </w:rPr>
      </w:pPr>
      <w:r>
        <w:rPr>
          <w:rFonts w:ascii="Palatino Linotype" w:eastAsia="Times New Roman" w:hAnsi="Palatino Linotype" w:cs="Times New Roman"/>
          <w:b/>
          <w:bCs/>
          <w:color w:val="000000"/>
          <w:sz w:val="24"/>
          <w:szCs w:val="24"/>
          <w:lang w:val="tr-TR" w:eastAsia="tr-TR"/>
        </w:rPr>
        <w:t xml:space="preserve">3. Dosyadaki Gizlilik İddiasıyla İlgili </w:t>
      </w:r>
      <w:proofErr w:type="spellStart"/>
      <w:r>
        <w:rPr>
          <w:rFonts w:ascii="Palatino Linotype" w:eastAsia="Times New Roman" w:hAnsi="Palatino Linotype" w:cs="Times New Roman"/>
          <w:b/>
          <w:bCs/>
          <w:sz w:val="24"/>
          <w:szCs w:val="24"/>
          <w:lang w:val="tr-TR" w:eastAsia="tr-TR"/>
        </w:rPr>
        <w:t>AİHM’in</w:t>
      </w:r>
      <w:proofErr w:type="spellEnd"/>
      <w:r>
        <w:rPr>
          <w:rFonts w:ascii="Palatino Linotype" w:eastAsia="Times New Roman" w:hAnsi="Palatino Linotype" w:cs="Times New Roman"/>
          <w:b/>
          <w:bCs/>
          <w:sz w:val="24"/>
          <w:szCs w:val="24"/>
          <w:lang w:val="tr-TR" w:eastAsia="tr-TR"/>
        </w:rPr>
        <w:t xml:space="preserve"> Değerlendirmesi</w:t>
      </w:r>
    </w:p>
    <w:p w:rsidR="00866BBE" w:rsidRDefault="00866BBE" w:rsidP="00866BBE">
      <w:pPr>
        <w:shd w:val="clear" w:color="auto" w:fill="FFFFFF"/>
        <w:spacing w:before="120" w:after="120" w:line="276" w:lineRule="auto"/>
        <w:jc w:val="both"/>
        <w:rPr>
          <w:rFonts w:ascii="Palatino Linotype" w:eastAsia="Times New Roman" w:hAnsi="Palatino Linotype" w:cs="Times New Roman"/>
          <w:color w:val="222222"/>
          <w:sz w:val="24"/>
          <w:szCs w:val="24"/>
          <w:lang w:val="tr-TR" w:eastAsia="tr-TR"/>
        </w:rPr>
      </w:pPr>
      <w:r>
        <w:rPr>
          <w:rFonts w:ascii="Palatino Linotype" w:eastAsia="Times New Roman" w:hAnsi="Palatino Linotype" w:cs="Times New Roman"/>
          <w:color w:val="222222"/>
          <w:sz w:val="24"/>
          <w:szCs w:val="24"/>
          <w:lang w:val="tr-TR" w:eastAsia="tr-TR"/>
        </w:rPr>
        <w:t xml:space="preserve">AİHM, dosyada gizlilik kararı alınıp alınmadığı hususunda başvurucunun ve </w:t>
      </w:r>
      <w:proofErr w:type="spellStart"/>
      <w:r>
        <w:rPr>
          <w:rFonts w:ascii="Palatino Linotype" w:eastAsia="Times New Roman" w:hAnsi="Palatino Linotype" w:cs="Times New Roman"/>
          <w:color w:val="222222"/>
          <w:sz w:val="24"/>
          <w:szCs w:val="24"/>
          <w:lang w:val="tr-TR" w:eastAsia="tr-TR"/>
        </w:rPr>
        <w:t>Hükumetin</w:t>
      </w:r>
      <w:proofErr w:type="spellEnd"/>
      <w:r>
        <w:rPr>
          <w:rFonts w:ascii="Palatino Linotype" w:eastAsia="Times New Roman" w:hAnsi="Palatino Linotype" w:cs="Times New Roman"/>
          <w:color w:val="222222"/>
          <w:sz w:val="24"/>
          <w:szCs w:val="24"/>
          <w:lang w:val="tr-TR" w:eastAsia="tr-TR"/>
        </w:rPr>
        <w:t xml:space="preserve"> farklı görüşte olduğuna dikkat çekmiştir (P. 196). Bununla birlikte, AYM kısıtlama kararı varmışçasına ilgili şikâyeti incelediğinden, AİHM de böyle bir kısıtlama kararının varlığını kabul etmiştir (P. 197).</w:t>
      </w:r>
    </w:p>
    <w:p w:rsidR="00866BBE" w:rsidRDefault="00866BBE" w:rsidP="00866BBE">
      <w:pPr>
        <w:shd w:val="clear" w:color="auto" w:fill="FFFFFF"/>
        <w:spacing w:before="120" w:after="120" w:line="276" w:lineRule="auto"/>
        <w:jc w:val="both"/>
        <w:rPr>
          <w:rFonts w:ascii="Palatino Linotype" w:eastAsia="Times New Roman" w:hAnsi="Palatino Linotype" w:cs="Times New Roman"/>
          <w:color w:val="222222"/>
          <w:sz w:val="24"/>
          <w:szCs w:val="24"/>
          <w:lang w:val="tr-TR" w:eastAsia="tr-TR"/>
        </w:rPr>
      </w:pPr>
      <w:r>
        <w:rPr>
          <w:rFonts w:ascii="Palatino Linotype" w:eastAsia="Times New Roman" w:hAnsi="Palatino Linotype" w:cs="Times New Roman"/>
          <w:color w:val="222222"/>
          <w:sz w:val="24"/>
          <w:szCs w:val="24"/>
          <w:lang w:val="tr-TR" w:eastAsia="tr-TR"/>
        </w:rPr>
        <w:t xml:space="preserve">Kimi dosyalarda, haklarındaki suçlamalara ilişkin delil kalemleri hakkında başvurucuların yeterli bilgi sahibi olduğu gerekçesiyle kısıtlama kararlarının tutuklamaya etkili itiraz hakkını ihlal etmediğine karar verilmiştir (P. 200). Ancak mevcut dosya, bu başvurulardan farklı bir nitelik taşımaktadır (P. 201). Zira başvurucu hakkındaki suçlamanın yegâne dayanağı kırmızı listede olduğuna dair savcılık tespiti olmakla birlikte; iddianamenin düzenlenmesine kadar bu delil unsuruna ilişkin hiçbir bilgi veya evrak başvurucuya verilmemiştir (P. 202). Dolayısıyla AİHM, ne başvurucunun ne de avukatının bahse konu tutuklamaya itiraz edebilmeleri için hayati önemde olan bu </w:t>
      </w:r>
      <w:proofErr w:type="gramStart"/>
      <w:r>
        <w:rPr>
          <w:rFonts w:ascii="Palatino Linotype" w:eastAsia="Times New Roman" w:hAnsi="Palatino Linotype" w:cs="Times New Roman"/>
          <w:color w:val="222222"/>
          <w:sz w:val="24"/>
          <w:szCs w:val="24"/>
          <w:lang w:val="tr-TR" w:eastAsia="tr-TR"/>
        </w:rPr>
        <w:t>yegane</w:t>
      </w:r>
      <w:proofErr w:type="gramEnd"/>
      <w:r>
        <w:rPr>
          <w:rFonts w:ascii="Palatino Linotype" w:eastAsia="Times New Roman" w:hAnsi="Palatino Linotype" w:cs="Times New Roman"/>
          <w:color w:val="222222"/>
          <w:sz w:val="24"/>
          <w:szCs w:val="24"/>
          <w:lang w:val="tr-TR" w:eastAsia="tr-TR"/>
        </w:rPr>
        <w:t xml:space="preserve"> delil unsurunun içeriği hakkında yeterli bilgiye sahip olamadığı sonucuna ulaşmıştır (P. 204).</w:t>
      </w:r>
    </w:p>
    <w:p w:rsidR="00866BBE" w:rsidRDefault="00866BBE" w:rsidP="00866BBE">
      <w:pPr>
        <w:shd w:val="clear" w:color="auto" w:fill="FFFFFF"/>
        <w:spacing w:before="120" w:after="120" w:line="276" w:lineRule="auto"/>
        <w:jc w:val="both"/>
        <w:rPr>
          <w:rFonts w:ascii="Palatino Linotype" w:hAnsi="Palatino Linotype"/>
          <w:color w:val="000000"/>
          <w:sz w:val="24"/>
          <w:szCs w:val="24"/>
          <w:lang w:val="tr-TR"/>
        </w:rPr>
      </w:pPr>
      <w:r>
        <w:rPr>
          <w:rFonts w:ascii="Palatino Linotype" w:eastAsia="Times New Roman" w:hAnsi="Palatino Linotype" w:cs="Times New Roman"/>
          <w:color w:val="222222"/>
          <w:sz w:val="24"/>
          <w:szCs w:val="24"/>
          <w:lang w:val="tr-TR" w:eastAsia="tr-TR"/>
        </w:rPr>
        <w:t xml:space="preserve">Sonuç olarak, </w:t>
      </w:r>
      <w:r>
        <w:rPr>
          <w:rFonts w:ascii="Palatino Linotype" w:hAnsi="Palatino Linotype"/>
          <w:color w:val="000000"/>
          <w:sz w:val="24"/>
          <w:szCs w:val="24"/>
          <w:lang w:val="tr-TR"/>
        </w:rPr>
        <w:t>dosyadaki gizlilik kararı sebebiyle Sözleşme’nin 5/4. maddesinin ihlal edildiğine karar vermiştir (P. 206).</w:t>
      </w:r>
    </w:p>
    <w:p w:rsidR="00866BBE" w:rsidRDefault="00866BBE" w:rsidP="00866BBE">
      <w:pPr>
        <w:keepNext/>
        <w:spacing w:before="120" w:after="120" w:line="276" w:lineRule="auto"/>
        <w:jc w:val="both"/>
        <w:rPr>
          <w:rFonts w:ascii="Palatino Linotype" w:eastAsia="Times New Roman" w:hAnsi="Palatino Linotype" w:cs="Times New Roman"/>
          <w:b/>
          <w:bCs/>
          <w:sz w:val="24"/>
          <w:szCs w:val="24"/>
          <w:lang w:val="tr-TR" w:eastAsia="tr-TR"/>
        </w:rPr>
      </w:pPr>
      <w:r>
        <w:rPr>
          <w:rFonts w:ascii="Palatino Linotype" w:eastAsia="Times New Roman" w:hAnsi="Palatino Linotype" w:cs="Times New Roman"/>
          <w:b/>
          <w:bCs/>
          <w:color w:val="000000"/>
          <w:sz w:val="24"/>
          <w:szCs w:val="24"/>
          <w:lang w:val="tr-TR" w:eastAsia="tr-TR"/>
        </w:rPr>
        <w:t xml:space="preserve">4. Sulh Ceza Hâkimlerinin Bağımsız ve Tarafsız Olmadığı Hususundaki </w:t>
      </w:r>
      <w:proofErr w:type="spellStart"/>
      <w:r>
        <w:rPr>
          <w:rFonts w:ascii="Palatino Linotype" w:eastAsia="Times New Roman" w:hAnsi="Palatino Linotype" w:cs="Times New Roman"/>
          <w:b/>
          <w:bCs/>
          <w:sz w:val="24"/>
          <w:szCs w:val="24"/>
          <w:lang w:val="tr-TR" w:eastAsia="tr-TR"/>
        </w:rPr>
        <w:t>AİHM’in</w:t>
      </w:r>
      <w:proofErr w:type="spellEnd"/>
      <w:r>
        <w:rPr>
          <w:rFonts w:ascii="Palatino Linotype" w:eastAsia="Times New Roman" w:hAnsi="Palatino Linotype" w:cs="Times New Roman"/>
          <w:b/>
          <w:bCs/>
          <w:sz w:val="24"/>
          <w:szCs w:val="24"/>
          <w:lang w:val="tr-TR" w:eastAsia="tr-TR"/>
        </w:rPr>
        <w:t xml:space="preserve"> Değerlendirmesi</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olor w:val="000000"/>
          <w:lang w:val="tr-TR"/>
        </w:rPr>
      </w:pPr>
      <w:r>
        <w:rPr>
          <w:rFonts w:ascii="Palatino Linotype" w:hAnsi="Palatino Linotype"/>
          <w:color w:val="000000"/>
          <w:lang w:val="tr-TR"/>
        </w:rPr>
        <w:t>AİHM, tutuklama kararı veren sulh ceza hâkiminin bağımsız ve tarafsız olmadığı iddiasını daha önce incelediğinden reddetmiştir (P. 207-209).</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olor w:val="000000"/>
          <w:lang w:val="tr-TR"/>
        </w:rPr>
      </w:pPr>
      <w:r>
        <w:rPr>
          <w:rFonts w:ascii="Palatino Linotype" w:hAnsi="Palatino Linotype"/>
          <w:color w:val="000000"/>
          <w:lang w:val="tr-TR"/>
        </w:rPr>
        <w:t xml:space="preserve">Milli yargıç Saadet Yüksel, </w:t>
      </w:r>
      <w:proofErr w:type="spellStart"/>
      <w:r>
        <w:rPr>
          <w:rFonts w:ascii="Palatino Linotype" w:hAnsi="Palatino Linotype"/>
          <w:color w:val="000000"/>
          <w:lang w:val="tr-TR"/>
        </w:rPr>
        <w:t>AİHM’in</w:t>
      </w:r>
      <w:proofErr w:type="spellEnd"/>
      <w:r>
        <w:rPr>
          <w:rFonts w:ascii="Palatino Linotype" w:hAnsi="Palatino Linotype"/>
          <w:color w:val="000000"/>
          <w:lang w:val="tr-TR"/>
        </w:rPr>
        <w:t xml:space="preserve"> üç aşamalı incelemesine karşı çıkmıştır. Bu muhalefet şerhi muhtemel bir Büyük Daire başvurusuna dönüşecektir ve çok kapsamlı ve dolu hazırlanmışa benzeyen bu muhalefet görüşü ayrıntılı bir incelemeyi gerekli kılmaktadır. </w:t>
      </w:r>
    </w:p>
    <w:p w:rsidR="00866BBE" w:rsidRDefault="00866BBE" w:rsidP="00866BBE">
      <w:pPr>
        <w:pStyle w:val="NormalWeb"/>
        <w:shd w:val="clear" w:color="auto" w:fill="FFFFFF"/>
        <w:spacing w:before="120" w:beforeAutospacing="0" w:after="120" w:afterAutospacing="0" w:line="276" w:lineRule="auto"/>
        <w:jc w:val="both"/>
        <w:outlineLvl w:val="0"/>
        <w:rPr>
          <w:rFonts w:ascii="Palatino Linotype" w:hAnsi="Palatino Linotype"/>
          <w:b/>
          <w:color w:val="000000"/>
          <w:lang w:val="tr-TR"/>
        </w:rPr>
      </w:pPr>
      <w:r>
        <w:rPr>
          <w:rFonts w:ascii="Palatino Linotype" w:hAnsi="Palatino Linotype"/>
          <w:b/>
          <w:color w:val="000000"/>
          <w:lang w:val="tr-TR"/>
        </w:rPr>
        <w:t>IV. KARAR İLİŞKİN DEĞERLENDİRME</w:t>
      </w:r>
    </w:p>
    <w:p w:rsidR="00866BBE" w:rsidRDefault="00866BBE" w:rsidP="00866BBE">
      <w:pPr>
        <w:spacing w:before="120" w:after="120" w:line="276" w:lineRule="auto"/>
        <w:jc w:val="both"/>
        <w:outlineLvl w:val="0"/>
        <w:rPr>
          <w:rFonts w:ascii="Palatino Linotype" w:hAnsi="Palatino Linotype"/>
          <w:b/>
          <w:sz w:val="24"/>
          <w:szCs w:val="24"/>
          <w:lang w:val="tr-TR"/>
        </w:rPr>
      </w:pPr>
      <w:r>
        <w:rPr>
          <w:rFonts w:ascii="Palatino Linotype" w:hAnsi="Palatino Linotype"/>
          <w:b/>
          <w:color w:val="222222"/>
          <w:sz w:val="24"/>
          <w:szCs w:val="24"/>
          <w:shd w:val="clear" w:color="auto" w:fill="FFFFFF"/>
          <w:lang w:val="tr-TR"/>
        </w:rPr>
        <w:t xml:space="preserve">1. Dosyalara Hükümetin Argümanlarını Çürüten Rapor ve Uzman Görüşleri Sunulmalıdır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lastRenderedPageBreak/>
        <w:t xml:space="preserve">Başvurucu tarafından hiçbir rapor sunulmamasına ya da açık kaynaklardan paylaşılan raporlara atıfta bulunmamasına ve hükümet tarafından MİT Teknik Raporu </w:t>
      </w:r>
      <w:proofErr w:type="gramStart"/>
      <w:r>
        <w:rPr>
          <w:rFonts w:ascii="Palatino Linotype" w:hAnsi="Palatino Linotype"/>
          <w:sz w:val="24"/>
          <w:szCs w:val="24"/>
          <w:lang w:val="tr-TR"/>
        </w:rPr>
        <w:t>dahil</w:t>
      </w:r>
      <w:proofErr w:type="gramEnd"/>
      <w:r>
        <w:rPr>
          <w:rFonts w:ascii="Palatino Linotype" w:hAnsi="Palatino Linotype"/>
          <w:sz w:val="24"/>
          <w:szCs w:val="24"/>
          <w:lang w:val="tr-TR"/>
        </w:rPr>
        <w:t xml:space="preserve"> sunulan 4 ayrı raporu incelemesine rağmen, </w:t>
      </w:r>
      <w:proofErr w:type="spellStart"/>
      <w:r>
        <w:rPr>
          <w:rFonts w:ascii="Palatino Linotype" w:hAnsi="Palatino Linotype"/>
          <w:sz w:val="24"/>
          <w:szCs w:val="24"/>
          <w:lang w:val="tr-TR"/>
        </w:rPr>
        <w:t>AİHM’in</w:t>
      </w:r>
      <w:proofErr w:type="spellEnd"/>
      <w:r>
        <w:rPr>
          <w:rFonts w:ascii="Palatino Linotype" w:hAnsi="Palatino Linotype"/>
          <w:sz w:val="24"/>
          <w:szCs w:val="24"/>
          <w:lang w:val="tr-TR"/>
        </w:rPr>
        <w:t xml:space="preserve"> bu sonuca ulaşması, sonraki başvurular açısından da umut vericidir. Zira Hükümet, aynı raporları bütün başvurulara sunmuş ve sunmaya da devam etmektedir.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AİHM mevcut dosyada, Hükümetin sunduğu rapor ve kararların başvurucunun tutuklanmasında sonraki tarihlere ilişkin olduğu için başvurucu bakımından değerlendirmeye konu edilemediğini ve </w:t>
      </w:r>
      <w:proofErr w:type="gramStart"/>
      <w:r>
        <w:rPr>
          <w:rFonts w:ascii="Palatino Linotype" w:hAnsi="Palatino Linotype"/>
          <w:sz w:val="24"/>
          <w:szCs w:val="24"/>
          <w:lang w:val="tr-TR"/>
        </w:rPr>
        <w:t>hakimlerin</w:t>
      </w:r>
      <w:proofErr w:type="gramEnd"/>
      <w:r>
        <w:rPr>
          <w:rFonts w:ascii="Palatino Linotype" w:hAnsi="Palatino Linotype"/>
          <w:sz w:val="24"/>
          <w:szCs w:val="24"/>
          <w:lang w:val="tr-TR"/>
        </w:rPr>
        <w:t xml:space="preserv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konusunda yeterli bilgi sahibi olmadıklarını belirtse de, burada akla, yakın tarihlerde salt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nedeniyle tutuklananlar açısından, </w:t>
      </w:r>
      <w:proofErr w:type="spellStart"/>
      <w:r>
        <w:rPr>
          <w:rFonts w:ascii="Palatino Linotype" w:hAnsi="Palatino Linotype"/>
          <w:sz w:val="24"/>
          <w:szCs w:val="24"/>
          <w:lang w:val="tr-TR"/>
        </w:rPr>
        <w:t>AİHM’in</w:t>
      </w:r>
      <w:proofErr w:type="spellEnd"/>
      <w:r>
        <w:rPr>
          <w:rFonts w:ascii="Palatino Linotype" w:hAnsi="Palatino Linotype"/>
          <w:sz w:val="24"/>
          <w:szCs w:val="24"/>
          <w:lang w:val="tr-TR"/>
        </w:rPr>
        <w:t xml:space="preserve"> hakimlerin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ile ilgili dosyalarda içerik olmasa da yeterli bilgiye sahip olduklarını kabul edip etmeyeceği sorusu gelmektedir. Böyle bir kabulün önüne geçilebilmesi adına, AİHM kararında alıntı yapılan rapor ve analizlerin aksini ortaya koyan bilirkişi raporları ve uzman görüşlerinin dosyalara konulması önem arz etmektedir.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color w:val="222222"/>
          <w:sz w:val="24"/>
          <w:szCs w:val="24"/>
          <w:shd w:val="clear" w:color="auto" w:fill="FFFFFF"/>
          <w:lang w:val="tr-TR"/>
        </w:rPr>
        <w:t xml:space="preserve">Aynı şekilde AİHM, ulusal hakime sunulan bilgilerin söz konusu haberleşme siteminin münhasıran örgüt üyeleri tarafından kullanılmak üzere kullanıma sunulduğu konusunda </w:t>
      </w:r>
      <w:proofErr w:type="gramStart"/>
      <w:r>
        <w:rPr>
          <w:rFonts w:ascii="Palatino Linotype" w:hAnsi="Palatino Linotype"/>
          <w:color w:val="222222"/>
          <w:sz w:val="24"/>
          <w:szCs w:val="24"/>
          <w:shd w:val="clear" w:color="auto" w:fill="FFFFFF"/>
          <w:lang w:val="tr-TR"/>
        </w:rPr>
        <w:t>spesifik</w:t>
      </w:r>
      <w:proofErr w:type="gramEnd"/>
      <w:r>
        <w:rPr>
          <w:rFonts w:ascii="Palatino Linotype" w:hAnsi="Palatino Linotype"/>
          <w:color w:val="222222"/>
          <w:sz w:val="24"/>
          <w:szCs w:val="24"/>
          <w:shd w:val="clear" w:color="auto" w:fill="FFFFFF"/>
          <w:lang w:val="tr-TR"/>
        </w:rPr>
        <w:t xml:space="preserve"> nitelikte olması gerektiğini, bu başvuruda bu hususun bir eksiklik olduğunu, yani bu şartın karşılanmadığını belirtse de, sonraki başvurularda ve yakın tarihlerde verilen </w:t>
      </w:r>
      <w:proofErr w:type="spellStart"/>
      <w:r>
        <w:rPr>
          <w:rFonts w:ascii="Palatino Linotype" w:hAnsi="Palatino Linotype"/>
          <w:color w:val="222222"/>
          <w:sz w:val="24"/>
          <w:szCs w:val="24"/>
          <w:shd w:val="clear" w:color="auto" w:fill="FFFFFF"/>
          <w:lang w:val="tr-TR"/>
        </w:rPr>
        <w:t>Bylock’a</w:t>
      </w:r>
      <w:proofErr w:type="spellEnd"/>
      <w:r>
        <w:rPr>
          <w:rFonts w:ascii="Palatino Linotype" w:hAnsi="Palatino Linotype"/>
          <w:color w:val="222222"/>
          <w:sz w:val="24"/>
          <w:szCs w:val="24"/>
          <w:shd w:val="clear" w:color="auto" w:fill="FFFFFF"/>
          <w:lang w:val="tr-TR"/>
        </w:rPr>
        <w:t xml:space="preserve"> dayalı tutuklama kararlarında, Hükümetin sunduğu raporlar ve kararlardaki </w:t>
      </w:r>
      <w:proofErr w:type="spellStart"/>
      <w:r>
        <w:rPr>
          <w:rFonts w:ascii="Palatino Linotype" w:hAnsi="Palatino Linotype"/>
          <w:color w:val="222222"/>
          <w:sz w:val="24"/>
          <w:szCs w:val="24"/>
          <w:shd w:val="clear" w:color="auto" w:fill="FFFFFF"/>
          <w:lang w:val="tr-TR"/>
        </w:rPr>
        <w:t>Bylock’un</w:t>
      </w:r>
      <w:proofErr w:type="spellEnd"/>
      <w:r>
        <w:rPr>
          <w:rFonts w:ascii="Palatino Linotype" w:hAnsi="Palatino Linotype"/>
          <w:color w:val="222222"/>
          <w:sz w:val="24"/>
          <w:szCs w:val="24"/>
          <w:shd w:val="clear" w:color="auto" w:fill="FFFFFF"/>
          <w:lang w:val="tr-TR"/>
        </w:rPr>
        <w:t xml:space="preserve"> münhasıran Gülen Hareketi mensuplarınca kullanıldığı argümanını çürütecek rapor/</w:t>
      </w:r>
      <w:proofErr w:type="spellStart"/>
      <w:r>
        <w:rPr>
          <w:rFonts w:ascii="Palatino Linotype" w:hAnsi="Palatino Linotype"/>
          <w:color w:val="222222"/>
          <w:sz w:val="24"/>
          <w:szCs w:val="24"/>
          <w:shd w:val="clear" w:color="auto" w:fill="FFFFFF"/>
          <w:lang w:val="tr-TR"/>
        </w:rPr>
        <w:t>ların</w:t>
      </w:r>
      <w:proofErr w:type="spellEnd"/>
      <w:r>
        <w:rPr>
          <w:rFonts w:ascii="Palatino Linotype" w:hAnsi="Palatino Linotype"/>
          <w:color w:val="222222"/>
          <w:sz w:val="24"/>
          <w:szCs w:val="24"/>
          <w:shd w:val="clear" w:color="auto" w:fill="FFFFFF"/>
          <w:lang w:val="tr-TR"/>
        </w:rPr>
        <w:t xml:space="preserve"> temin edilerek </w:t>
      </w:r>
      <w:proofErr w:type="spellStart"/>
      <w:r>
        <w:rPr>
          <w:rFonts w:ascii="Palatino Linotype" w:hAnsi="Palatino Linotype"/>
          <w:color w:val="222222"/>
          <w:sz w:val="24"/>
          <w:szCs w:val="24"/>
          <w:shd w:val="clear" w:color="auto" w:fill="FFFFFF"/>
          <w:lang w:val="tr-TR"/>
        </w:rPr>
        <w:t>AİHM’e</w:t>
      </w:r>
      <w:proofErr w:type="spellEnd"/>
      <w:r>
        <w:rPr>
          <w:rFonts w:ascii="Palatino Linotype" w:hAnsi="Palatino Linotype"/>
          <w:color w:val="222222"/>
          <w:sz w:val="24"/>
          <w:szCs w:val="24"/>
          <w:shd w:val="clear" w:color="auto" w:fill="FFFFFF"/>
          <w:lang w:val="tr-TR"/>
        </w:rPr>
        <w:t xml:space="preserve"> sunulmasında zaruret vardır. Zira AİHM, Hükümet tarafından sunulan raporları ayrıntılı inceleyip atıfta bulunmuştur ve Hükümetin tezlerinin aynı nitelikteki rapor ve uzman görüşleriyle çürütülmesi gerekir. Bunu sağlayacak çok sayıda bilgi ve belge mevcuttur. Mevcut dosyada başvurucu tarafından hiçbir rapor ve görüşün dosyaya sunulmaması başvuruyla ilgili önemli bir eksiktir.  </w:t>
      </w:r>
    </w:p>
    <w:p w:rsidR="00866BBE" w:rsidRDefault="00866BBE" w:rsidP="00866BBE">
      <w:pPr>
        <w:spacing w:before="120" w:after="120" w:line="276" w:lineRule="auto"/>
        <w:jc w:val="both"/>
        <w:outlineLvl w:val="0"/>
        <w:rPr>
          <w:rFonts w:ascii="Palatino Linotype" w:hAnsi="Palatino Linotype"/>
          <w:b/>
          <w:sz w:val="24"/>
          <w:szCs w:val="24"/>
          <w:lang w:val="tr-TR"/>
        </w:rPr>
      </w:pPr>
      <w:r>
        <w:rPr>
          <w:rFonts w:ascii="Palatino Linotype" w:hAnsi="Palatino Linotype"/>
          <w:b/>
          <w:sz w:val="24"/>
          <w:szCs w:val="24"/>
          <w:lang w:val="tr-TR"/>
        </w:rPr>
        <w:t>2. Şifreli Haberleşme Uygulaması İndirmek ve Kullanmak Tek Başına Suç Unsuru Oluşturmaz</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Karardaki en dikkat çekici tespitlerden birisi, şifreli bir iletişim uygulamasının indirilmesinin, kullanılmasının ya da gönderilen mesajların gizliliğini koruyucu başka bir yönteme başvurulmasının, tek başına bu uygulamanın hukuka aykırı veya suç unsuru olduğunu ortaya koyamayacağıdır. AİHM bu kararında, haberleşmenin gizli olmasının ve bunu sağlamaya yönelik çabaların suç ya da suç unsuru kabul edilemeyeceğini vurgulamıştır. Zira AİHS ve Türk Anayasa ve hatta Ceza Kanunu haberleşmenin gizli yapılmasını teminat altına almaktadır. Burada,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Adnan Şen kararındaki; </w:t>
      </w:r>
      <w:r>
        <w:rPr>
          <w:rFonts w:ascii="Palatino Linotype" w:hAnsi="Palatino Linotype"/>
          <w:i/>
          <w:sz w:val="24"/>
          <w:szCs w:val="24"/>
          <w:lang w:val="tr-TR"/>
        </w:rPr>
        <w:t>“</w:t>
      </w:r>
      <w:proofErr w:type="spellStart"/>
      <w:r>
        <w:rPr>
          <w:rFonts w:ascii="Palatino Linotype" w:hAnsi="Palatino Linotype"/>
          <w:i/>
          <w:sz w:val="24"/>
          <w:szCs w:val="24"/>
          <w:lang w:val="tr-TR"/>
        </w:rPr>
        <w:t>Bylock</w:t>
      </w:r>
      <w:proofErr w:type="spellEnd"/>
      <w:r>
        <w:rPr>
          <w:rFonts w:ascii="Palatino Linotype" w:hAnsi="Palatino Linotype"/>
          <w:i/>
          <w:sz w:val="24"/>
          <w:szCs w:val="24"/>
          <w:lang w:val="tr-TR"/>
        </w:rPr>
        <w:t xml:space="preserve"> kullanmak suç değildir, ancak silah örgüt üyeliğinin delilidir” </w:t>
      </w:r>
      <w:r>
        <w:rPr>
          <w:rFonts w:ascii="Palatino Linotype" w:hAnsi="Palatino Linotype"/>
          <w:sz w:val="24"/>
          <w:szCs w:val="24"/>
          <w:lang w:val="tr-TR"/>
        </w:rPr>
        <w:t>yorumunun yersizliği akla gelmektedir.</w:t>
      </w:r>
    </w:p>
    <w:p w:rsidR="00866BBE" w:rsidRDefault="00866BBE" w:rsidP="00866BBE">
      <w:pPr>
        <w:spacing w:before="120" w:after="120" w:line="276" w:lineRule="auto"/>
        <w:jc w:val="both"/>
        <w:outlineLvl w:val="0"/>
        <w:rPr>
          <w:rFonts w:ascii="Palatino Linotype" w:hAnsi="Palatino Linotype"/>
          <w:b/>
          <w:sz w:val="24"/>
          <w:szCs w:val="24"/>
          <w:lang w:val="tr-TR"/>
        </w:rPr>
      </w:pPr>
      <w:r>
        <w:rPr>
          <w:rFonts w:ascii="Palatino Linotype" w:hAnsi="Palatino Linotype"/>
          <w:b/>
          <w:sz w:val="24"/>
          <w:szCs w:val="24"/>
          <w:lang w:val="tr-TR"/>
        </w:rPr>
        <w:lastRenderedPageBreak/>
        <w:t>3. Şifreli Bir Haberleşme Uygulaması Tek Başına Tutuklama Nedeni Kabul Edilemez</w:t>
      </w:r>
    </w:p>
    <w:p w:rsidR="00866BBE" w:rsidRDefault="00866BBE" w:rsidP="00866BBE">
      <w:pPr>
        <w:spacing w:before="120" w:after="120" w:line="276" w:lineRule="auto"/>
        <w:jc w:val="both"/>
        <w:rPr>
          <w:rFonts w:ascii="Palatino Linotype" w:hAnsi="Palatino Linotype"/>
          <w:b/>
          <w:sz w:val="24"/>
          <w:szCs w:val="24"/>
          <w:lang w:val="tr-TR"/>
        </w:rPr>
      </w:pPr>
      <w:proofErr w:type="spellStart"/>
      <w:r>
        <w:rPr>
          <w:rFonts w:ascii="Palatino Linotype" w:hAnsi="Palatino Linotype"/>
          <w:sz w:val="24"/>
          <w:szCs w:val="24"/>
          <w:lang w:val="tr-TR"/>
        </w:rPr>
        <w:t>AİHM’e</w:t>
      </w:r>
      <w:proofErr w:type="spellEnd"/>
      <w:r>
        <w:rPr>
          <w:rFonts w:ascii="Palatino Linotype" w:hAnsi="Palatino Linotype"/>
          <w:sz w:val="24"/>
          <w:szCs w:val="24"/>
          <w:lang w:val="tr-TR"/>
        </w:rPr>
        <w:t xml:space="preserve"> göre, şifreli bir iletişim metodunun kullanımı hiçbir şekilde tek başına tutuklama nedeni kabul edilemez. Bunun için bazı şartlar bulunmalıdır. Zira öncelikle gönderilen mesaj içeriklerinin tespiti ve bu içeriklerin kullanıcının bir suç örgütünün üyesi olduğuna dair makul şüphe oluşturacak nitelikte olması gerekir. Dolayısıyla, sosyal ya da ailevi ilişkilerden kaynaklı gündelik yazışmaların veya dini </w:t>
      </w:r>
      <w:proofErr w:type="gramStart"/>
      <w:r>
        <w:rPr>
          <w:rFonts w:ascii="Palatino Linotype" w:hAnsi="Palatino Linotype"/>
          <w:sz w:val="24"/>
          <w:szCs w:val="24"/>
          <w:lang w:val="tr-TR"/>
        </w:rPr>
        <w:t>motivasyon</w:t>
      </w:r>
      <w:proofErr w:type="gramEnd"/>
      <w:r>
        <w:rPr>
          <w:rFonts w:ascii="Palatino Linotype" w:hAnsi="Palatino Linotype"/>
          <w:sz w:val="24"/>
          <w:szCs w:val="24"/>
          <w:lang w:val="tr-TR"/>
        </w:rPr>
        <w:t xml:space="preserve"> içerikli yazışmaların tutuklama nedeni olamayacağı açıktır. Bu durumda, </w:t>
      </w:r>
      <w:r>
        <w:rPr>
          <w:rFonts w:ascii="Palatino Linotype" w:hAnsi="Palatino Linotype"/>
          <w:b/>
          <w:sz w:val="24"/>
          <w:szCs w:val="24"/>
          <w:lang w:val="tr-TR"/>
        </w:rPr>
        <w:t xml:space="preserve">sadece </w:t>
      </w:r>
      <w:proofErr w:type="spellStart"/>
      <w:r>
        <w:rPr>
          <w:rFonts w:ascii="Palatino Linotype" w:hAnsi="Palatino Linotype"/>
          <w:b/>
          <w:sz w:val="24"/>
          <w:szCs w:val="24"/>
          <w:lang w:val="tr-TR"/>
        </w:rPr>
        <w:t>Bylock</w:t>
      </w:r>
      <w:proofErr w:type="spellEnd"/>
      <w:r>
        <w:rPr>
          <w:rFonts w:ascii="Palatino Linotype" w:hAnsi="Palatino Linotype"/>
          <w:b/>
          <w:sz w:val="24"/>
          <w:szCs w:val="24"/>
          <w:lang w:val="tr-TR"/>
        </w:rPr>
        <w:t xml:space="preserve"> iddiasına dayalı tutuklananların neredeyse tamamında </w:t>
      </w:r>
      <w:proofErr w:type="spellStart"/>
      <w:r>
        <w:rPr>
          <w:rFonts w:ascii="Palatino Linotype" w:hAnsi="Palatino Linotype"/>
          <w:b/>
          <w:sz w:val="24"/>
          <w:szCs w:val="24"/>
          <w:lang w:val="tr-TR"/>
        </w:rPr>
        <w:t>AİHM’in</w:t>
      </w:r>
      <w:proofErr w:type="spellEnd"/>
      <w:r>
        <w:rPr>
          <w:rFonts w:ascii="Palatino Linotype" w:hAnsi="Palatino Linotype"/>
          <w:b/>
          <w:sz w:val="24"/>
          <w:szCs w:val="24"/>
          <w:lang w:val="tr-TR"/>
        </w:rPr>
        <w:t xml:space="preserve"> aynı sonuca ulaşacağını öngörmek mümkündür.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Burada akla,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içeriklerinin olması, içerik olmasa bile başvurucu aleyhine tanık/</w:t>
      </w:r>
      <w:proofErr w:type="spellStart"/>
      <w:r>
        <w:rPr>
          <w:rFonts w:ascii="Palatino Linotype" w:hAnsi="Palatino Linotype"/>
          <w:sz w:val="24"/>
          <w:szCs w:val="24"/>
          <w:lang w:val="tr-TR"/>
        </w:rPr>
        <w:t>lar</w:t>
      </w:r>
      <w:proofErr w:type="spellEnd"/>
      <w:r>
        <w:rPr>
          <w:rFonts w:ascii="Palatino Linotype" w:hAnsi="Palatino Linotype"/>
          <w:sz w:val="24"/>
          <w:szCs w:val="24"/>
          <w:lang w:val="tr-TR"/>
        </w:rPr>
        <w:t xml:space="preserve"> beyanının bulunması ya da </w:t>
      </w:r>
      <w:proofErr w:type="gramStart"/>
      <w:r>
        <w:rPr>
          <w:rFonts w:ascii="Palatino Linotype" w:hAnsi="Palatino Linotype"/>
          <w:sz w:val="24"/>
          <w:szCs w:val="24"/>
          <w:lang w:val="tr-TR"/>
        </w:rPr>
        <w:t>kriter</w:t>
      </w:r>
      <w:proofErr w:type="gramEnd"/>
      <w:r>
        <w:rPr>
          <w:rFonts w:ascii="Palatino Linotype" w:hAnsi="Palatino Linotype"/>
          <w:sz w:val="24"/>
          <w:szCs w:val="24"/>
          <w:lang w:val="tr-TR"/>
        </w:rPr>
        <w:t xml:space="preserve"> kabul edilen ve yasal ve meşru faaliyetler olan dernek, sendika üyeliği, gazete, dergi aboneliği, okula çocuk gönderme gibi iddiaların varlığı halinde, </w:t>
      </w:r>
      <w:proofErr w:type="spellStart"/>
      <w:r>
        <w:rPr>
          <w:rFonts w:ascii="Palatino Linotype" w:hAnsi="Palatino Linotype"/>
          <w:sz w:val="24"/>
          <w:szCs w:val="24"/>
          <w:lang w:val="tr-TR"/>
        </w:rPr>
        <w:t>AİHM’in</w:t>
      </w:r>
      <w:proofErr w:type="spellEnd"/>
      <w:r>
        <w:rPr>
          <w:rFonts w:ascii="Palatino Linotype" w:hAnsi="Palatino Linotype"/>
          <w:sz w:val="24"/>
          <w:szCs w:val="24"/>
          <w:lang w:val="tr-TR"/>
        </w:rPr>
        <w:t xml:space="preserve"> bunları tutuklama için </w:t>
      </w:r>
      <w:r>
        <w:rPr>
          <w:rFonts w:ascii="Palatino Linotype" w:hAnsi="Palatino Linotype"/>
          <w:i/>
          <w:sz w:val="24"/>
          <w:szCs w:val="24"/>
          <w:lang w:val="tr-TR"/>
        </w:rPr>
        <w:t>“makul şüphe”</w:t>
      </w:r>
      <w:r>
        <w:rPr>
          <w:rFonts w:ascii="Palatino Linotype" w:hAnsi="Palatino Linotype"/>
          <w:sz w:val="24"/>
          <w:szCs w:val="24"/>
          <w:lang w:val="tr-TR"/>
        </w:rPr>
        <w:t xml:space="preserve"> sebebi kabul edip etmeyeceği gelebilir. </w:t>
      </w:r>
      <w:proofErr w:type="spellStart"/>
      <w:r>
        <w:rPr>
          <w:rFonts w:ascii="Palatino Linotype" w:hAnsi="Palatino Linotype"/>
          <w:sz w:val="24"/>
          <w:szCs w:val="24"/>
          <w:lang w:val="tr-TR"/>
        </w:rPr>
        <w:t>AİHM’in</w:t>
      </w:r>
      <w:proofErr w:type="spellEnd"/>
      <w:r>
        <w:rPr>
          <w:rFonts w:ascii="Palatino Linotype" w:hAnsi="Palatino Linotype"/>
          <w:sz w:val="24"/>
          <w:szCs w:val="24"/>
          <w:lang w:val="tr-TR"/>
        </w:rPr>
        <w:t xml:space="preserve"> bu ve bundan önceki kararlarından böyle bir sonucun çıkmayacağı düşünülmektedir. Zira mesaj içeriklerinin ve yasal ve meşru faaliyetlerin örgütsel nitelikte ve dolayısıyla örgüt üyeliğinin delili olarak kabulü mümkün değildir. </w:t>
      </w:r>
    </w:p>
    <w:p w:rsidR="00866BBE" w:rsidRDefault="00866BBE" w:rsidP="00866BBE">
      <w:pPr>
        <w:spacing w:before="120" w:after="120" w:line="276" w:lineRule="auto"/>
        <w:jc w:val="both"/>
        <w:rPr>
          <w:rFonts w:ascii="Palatino Linotype" w:eastAsia="Times New Roman" w:hAnsi="Palatino Linotype" w:cs="Segoe UI"/>
          <w:color w:val="0F1419"/>
          <w:sz w:val="24"/>
          <w:szCs w:val="24"/>
          <w:lang w:val="tr-TR" w:eastAsia="tr-TR"/>
        </w:rPr>
      </w:pPr>
      <w:r>
        <w:rPr>
          <w:rFonts w:ascii="Palatino Linotype" w:hAnsi="Palatino Linotype"/>
          <w:sz w:val="24"/>
          <w:szCs w:val="24"/>
          <w:lang w:val="tr-TR"/>
        </w:rPr>
        <w:t xml:space="preserve">Şöyle ki; </w:t>
      </w:r>
      <w:r>
        <w:rPr>
          <w:rFonts w:ascii="Palatino Linotype" w:eastAsia="Times New Roman" w:hAnsi="Palatino Linotype" w:cs="Segoe UI"/>
          <w:color w:val="0F1419"/>
          <w:sz w:val="24"/>
          <w:szCs w:val="24"/>
          <w:lang w:val="tr-TR" w:eastAsia="tr-TR"/>
        </w:rPr>
        <w:t xml:space="preserve">Silahlı örgütlerin amacı; Anayasayı, Hükümeti, TBMM'yi ortadan kaldırmak veya devletin birliğini bozmaktır ve bu amaçları gerçekleştirmeye yönelik olmayan faaliyetler örgütsel kabul edilemez. Yargıtay Ceza Genel Kurulu, silahlı örgütlerde örgütsel faaliyet kavramını; </w:t>
      </w:r>
      <w:r>
        <w:rPr>
          <w:rFonts w:ascii="Palatino Linotype" w:eastAsia="Times New Roman" w:hAnsi="Palatino Linotype" w:cs="Segoe UI"/>
          <w:i/>
          <w:color w:val="0F1419"/>
          <w:sz w:val="24"/>
          <w:szCs w:val="24"/>
          <w:lang w:val="tr-TR" w:eastAsia="tr-TR"/>
        </w:rPr>
        <w:t>“örgütsel faaliyetler illegaldir ve örgüt mensubunu, son aşama olan silahlı eylemlere hazırlayan faaliyetler”</w:t>
      </w:r>
      <w:r>
        <w:rPr>
          <w:rFonts w:ascii="Palatino Linotype" w:eastAsia="Times New Roman" w:hAnsi="Palatino Linotype" w:cs="Segoe UI"/>
          <w:color w:val="0F1419"/>
          <w:sz w:val="24"/>
          <w:szCs w:val="24"/>
          <w:lang w:val="tr-TR" w:eastAsia="tr-TR"/>
        </w:rPr>
        <w:t xml:space="preserve"> olarak tanımlamıştır (CGK, 07/11/1994, 1994/9-229 E</w:t>
      </w:r>
      <w:proofErr w:type="gramStart"/>
      <w:r>
        <w:rPr>
          <w:rFonts w:ascii="Palatino Linotype" w:eastAsia="Times New Roman" w:hAnsi="Palatino Linotype" w:cs="Segoe UI"/>
          <w:color w:val="0F1419"/>
          <w:sz w:val="24"/>
          <w:szCs w:val="24"/>
          <w:lang w:val="tr-TR" w:eastAsia="tr-TR"/>
        </w:rPr>
        <w:t>.,</w:t>
      </w:r>
      <w:proofErr w:type="gramEnd"/>
      <w:r>
        <w:rPr>
          <w:rFonts w:ascii="Palatino Linotype" w:eastAsia="Times New Roman" w:hAnsi="Palatino Linotype" w:cs="Segoe UI"/>
          <w:color w:val="0F1419"/>
          <w:sz w:val="24"/>
          <w:szCs w:val="24"/>
          <w:lang w:val="tr-TR" w:eastAsia="tr-TR"/>
        </w:rPr>
        <w:t xml:space="preserve"> 1994/275 K.). Kısaca, örgütsel faaliyet; terör örgütünün nihai amacına katkı sağlayan illegal faaliyetlerdir.</w:t>
      </w:r>
    </w:p>
    <w:p w:rsidR="00866BBE" w:rsidRDefault="00866BBE" w:rsidP="00866BBE">
      <w:pPr>
        <w:spacing w:before="120" w:after="120" w:line="276" w:lineRule="auto"/>
        <w:jc w:val="both"/>
        <w:rPr>
          <w:rFonts w:ascii="Palatino Linotype" w:eastAsia="Times New Roman" w:hAnsi="Palatino Linotype" w:cs="Segoe UI"/>
          <w:color w:val="0F1419"/>
          <w:sz w:val="24"/>
          <w:szCs w:val="24"/>
          <w:lang w:val="tr-TR" w:eastAsia="tr-TR"/>
        </w:rPr>
      </w:pPr>
      <w:r>
        <w:rPr>
          <w:rFonts w:ascii="Palatino Linotype" w:eastAsia="Times New Roman" w:hAnsi="Palatino Linotype" w:cs="Segoe UI"/>
          <w:color w:val="0F1419"/>
          <w:sz w:val="24"/>
          <w:szCs w:val="24"/>
          <w:lang w:val="tr-TR" w:eastAsia="tr-TR"/>
        </w:rPr>
        <w:t xml:space="preserve">Yargı mercileri tarafından, Gülen Hareketinin nihai amacı anayasal düzeni değiştirmek ve hükümeti ortadan kaldırmak (darbe teşebbüsü) olarak kabul edilmiştir. Failin, örgütün gayesini benimsemiş olup olmadığı onun iç </w:t>
      </w:r>
      <w:proofErr w:type="gramStart"/>
      <w:r>
        <w:rPr>
          <w:rFonts w:ascii="Palatino Linotype" w:eastAsia="Times New Roman" w:hAnsi="Palatino Linotype" w:cs="Segoe UI"/>
          <w:color w:val="0F1419"/>
          <w:sz w:val="24"/>
          <w:szCs w:val="24"/>
          <w:lang w:val="tr-TR" w:eastAsia="tr-TR"/>
        </w:rPr>
        <w:t>alemini</w:t>
      </w:r>
      <w:proofErr w:type="gramEnd"/>
      <w:r>
        <w:rPr>
          <w:rFonts w:ascii="Palatino Linotype" w:eastAsia="Times New Roman" w:hAnsi="Palatino Linotype" w:cs="Segoe UI"/>
          <w:color w:val="0F1419"/>
          <w:sz w:val="24"/>
          <w:szCs w:val="24"/>
          <w:lang w:val="tr-TR" w:eastAsia="tr-TR"/>
        </w:rPr>
        <w:t xml:space="preserve"> ilgilendiren bir husustur. Bu durumun kanıtlanması, ancak iradenin dış âleme yansıması olan hareketleri, bunu bilen tanık anlatımı ya da aynı kanaati verebilecek diğer kanıtlarla mümkündür. Başka bir deyişle, sanığın örgütün </w:t>
      </w:r>
      <w:r>
        <w:rPr>
          <w:rFonts w:ascii="Palatino Linotype" w:eastAsia="Times New Roman" w:hAnsi="Palatino Linotype" w:cs="Segoe UI"/>
          <w:i/>
          <w:color w:val="0F1419"/>
          <w:sz w:val="24"/>
          <w:szCs w:val="24"/>
          <w:lang w:val="tr-TR" w:eastAsia="tr-TR"/>
        </w:rPr>
        <w:t>“nihai amacını”</w:t>
      </w:r>
      <w:r>
        <w:rPr>
          <w:rFonts w:ascii="Palatino Linotype" w:eastAsia="Times New Roman" w:hAnsi="Palatino Linotype" w:cs="Segoe UI"/>
          <w:color w:val="0F1419"/>
          <w:sz w:val="24"/>
          <w:szCs w:val="24"/>
          <w:lang w:val="tr-TR" w:eastAsia="tr-TR"/>
        </w:rPr>
        <w:t xml:space="preserve"> benimsediğini açığa çıkaracak nitelikte hareketleri saptanmalıdır. </w:t>
      </w:r>
    </w:p>
    <w:p w:rsidR="00866BBE" w:rsidRDefault="00866BBE" w:rsidP="00866BBE">
      <w:pPr>
        <w:spacing w:before="120" w:after="120" w:line="276" w:lineRule="auto"/>
        <w:jc w:val="both"/>
        <w:rPr>
          <w:rFonts w:ascii="Palatino Linotype" w:eastAsia="Times New Roman" w:hAnsi="Palatino Linotype" w:cs="Segoe UI"/>
          <w:color w:val="0F1419"/>
          <w:sz w:val="24"/>
          <w:szCs w:val="24"/>
          <w:lang w:val="tr-TR" w:eastAsia="tr-TR"/>
        </w:rPr>
      </w:pPr>
      <w:r>
        <w:rPr>
          <w:rFonts w:ascii="Palatino Linotype" w:eastAsia="Times New Roman" w:hAnsi="Palatino Linotype" w:cs="Segoe UI"/>
          <w:color w:val="0F1419"/>
          <w:sz w:val="24"/>
          <w:szCs w:val="24"/>
          <w:lang w:val="tr-TR" w:eastAsia="tr-TR"/>
        </w:rPr>
        <w:t xml:space="preserve">Belli amaçları (darbe teşebbüsünü) silahlı olarak gerçekleştirmeyi </w:t>
      </w:r>
      <w:r>
        <w:rPr>
          <w:rFonts w:ascii="Palatino Linotype" w:eastAsia="Times New Roman" w:hAnsi="Palatino Linotype" w:cs="Segoe UI"/>
          <w:i/>
          <w:color w:val="0F1419"/>
          <w:sz w:val="24"/>
          <w:szCs w:val="24"/>
          <w:lang w:val="tr-TR" w:eastAsia="tr-TR"/>
        </w:rPr>
        <w:t>"özel kast"</w:t>
      </w:r>
      <w:r>
        <w:rPr>
          <w:rFonts w:ascii="Palatino Linotype" w:eastAsia="Times New Roman" w:hAnsi="Palatino Linotype" w:cs="Segoe UI"/>
          <w:color w:val="0F1419"/>
          <w:sz w:val="24"/>
          <w:szCs w:val="24"/>
          <w:lang w:val="tr-TR" w:eastAsia="tr-TR"/>
        </w:rPr>
        <w:t xml:space="preserve"> ile bilerek ve isteyerek kabul etmek örgüt üyeliğinin unsurunu oluşturur ve herhangi bir duraksamaya yer vermeyecek şekilde, failin bu kastının dosyadaki kanıtlarla hukuken belirgin olması gerekir. Örneğin, kendisi de ceza tehdidi altında olan gizli </w:t>
      </w:r>
      <w:r>
        <w:rPr>
          <w:rFonts w:ascii="Palatino Linotype" w:eastAsia="Times New Roman" w:hAnsi="Palatino Linotype" w:cs="Segoe UI"/>
          <w:color w:val="0F1419"/>
          <w:sz w:val="24"/>
          <w:szCs w:val="24"/>
          <w:lang w:val="tr-TR" w:eastAsia="tr-TR"/>
        </w:rPr>
        <w:lastRenderedPageBreak/>
        <w:t xml:space="preserve">tanık ve itirafçı beyanları, sanığın örgütün nihai amacını bildiğini şüpheye yer vermeyecek şekilde ve başka somut delillerle ispatlandığı takdirde hükme esas alınabilir. Bu hususun hukuktaki adı </w:t>
      </w:r>
      <w:r>
        <w:rPr>
          <w:rFonts w:ascii="Palatino Linotype" w:eastAsia="Times New Roman" w:hAnsi="Palatino Linotype" w:cs="Segoe UI"/>
          <w:i/>
          <w:color w:val="0F1419"/>
          <w:sz w:val="24"/>
          <w:szCs w:val="24"/>
          <w:lang w:val="tr-TR" w:eastAsia="tr-TR"/>
        </w:rPr>
        <w:t>"suçun manevi unsurudur”</w:t>
      </w:r>
      <w:r>
        <w:rPr>
          <w:rFonts w:ascii="Palatino Linotype" w:eastAsia="Times New Roman" w:hAnsi="Palatino Linotype" w:cs="Segoe UI"/>
          <w:color w:val="0F1419"/>
          <w:sz w:val="24"/>
          <w:szCs w:val="24"/>
          <w:lang w:val="tr-TR" w:eastAsia="tr-TR"/>
        </w:rPr>
        <w:t xml:space="preserve"> ve bu unsur gerçekleşmeden kimseye ceza verilemez. Ayrıca, bu faaliyetlerin örgütsel kabul edilebilmesi; gerçekleştirildikleri dönemde başvurucunun mensubu olduğu yapının silahlı örgüt olduğuna ilişkin bir yargı kararının varlığına bağlıdır. </w:t>
      </w:r>
    </w:p>
    <w:p w:rsidR="00866BBE" w:rsidRDefault="00866BBE" w:rsidP="00866BBE">
      <w:pPr>
        <w:spacing w:before="120" w:after="120" w:line="276" w:lineRule="auto"/>
        <w:jc w:val="both"/>
        <w:rPr>
          <w:rFonts w:ascii="Palatino Linotype" w:eastAsia="Times New Roman" w:hAnsi="Palatino Linotype" w:cs="Segoe UI"/>
          <w:color w:val="0F1419"/>
          <w:sz w:val="24"/>
          <w:szCs w:val="24"/>
          <w:lang w:val="tr-TR" w:eastAsia="tr-TR"/>
        </w:rPr>
      </w:pPr>
      <w:bookmarkStart w:id="0" w:name="_GoBack"/>
      <w:bookmarkEnd w:id="0"/>
      <w:r>
        <w:rPr>
          <w:rFonts w:ascii="Palatino Linotype" w:eastAsia="Times New Roman" w:hAnsi="Palatino Linotype" w:cs="Segoe UI"/>
          <w:color w:val="0F1419"/>
          <w:sz w:val="24"/>
          <w:szCs w:val="24"/>
          <w:lang w:val="tr-TR" w:eastAsia="tr-TR"/>
        </w:rPr>
        <w:t xml:space="preserve">Mevcut yargılamalarda böyle bir karar suç kabul edilen yasal ve meşru faaliyetlerden yıllar sonra verilmiştir. Yani, terör örgütü kabul edilmediği dönemde Gülen Hareketi silahlı örgüt, başvurucular da bu örgütün üyesi kabul edilmiştir. Yine ısrarla görmezden gelinen bu kavramın hukuktaki adı da </w:t>
      </w:r>
      <w:r>
        <w:rPr>
          <w:rFonts w:ascii="Palatino Linotype" w:eastAsia="Times New Roman" w:hAnsi="Palatino Linotype" w:cs="Segoe UI"/>
          <w:i/>
          <w:color w:val="0F1419"/>
          <w:sz w:val="24"/>
          <w:szCs w:val="24"/>
          <w:lang w:val="tr-TR" w:eastAsia="tr-TR"/>
        </w:rPr>
        <w:t>"suç ve cezaların geriye yürümezliğidir.”</w:t>
      </w:r>
    </w:p>
    <w:p w:rsidR="00866BBE" w:rsidRDefault="00866BBE" w:rsidP="00866BBE">
      <w:pPr>
        <w:spacing w:before="120" w:after="120" w:line="276" w:lineRule="auto"/>
        <w:jc w:val="both"/>
        <w:rPr>
          <w:rFonts w:ascii="Palatino Linotype" w:eastAsia="Times New Roman" w:hAnsi="Palatino Linotype" w:cs="Segoe UI"/>
          <w:color w:val="0F1419"/>
          <w:sz w:val="24"/>
          <w:szCs w:val="24"/>
          <w:lang w:val="tr-TR" w:eastAsia="tr-TR"/>
        </w:rPr>
      </w:pPr>
      <w:r>
        <w:rPr>
          <w:rFonts w:ascii="Palatino Linotype" w:eastAsia="Times New Roman" w:hAnsi="Palatino Linotype" w:cs="Segoe UI"/>
          <w:color w:val="0F1419"/>
          <w:sz w:val="24"/>
          <w:szCs w:val="24"/>
          <w:lang w:val="tr-TR" w:eastAsia="tr-TR"/>
        </w:rPr>
        <w:t xml:space="preserve">Güncel yargılamaların neredeyse tamamında başvurucuların darbe teşebbüsünü bildikleri ve gerçekleşmesini istedikleri ortaya konulmadığına göre acaba tanık ifadeleri ve </w:t>
      </w:r>
      <w:proofErr w:type="gramStart"/>
      <w:r>
        <w:rPr>
          <w:rFonts w:ascii="Palatino Linotype" w:eastAsia="Times New Roman" w:hAnsi="Palatino Linotype" w:cs="Segoe UI"/>
          <w:color w:val="0F1419"/>
          <w:sz w:val="24"/>
          <w:szCs w:val="24"/>
          <w:lang w:val="tr-TR" w:eastAsia="tr-TR"/>
        </w:rPr>
        <w:t>kriter</w:t>
      </w:r>
      <w:proofErr w:type="gramEnd"/>
      <w:r>
        <w:rPr>
          <w:rFonts w:ascii="Palatino Linotype" w:eastAsia="Times New Roman" w:hAnsi="Palatino Linotype" w:cs="Segoe UI"/>
          <w:color w:val="0F1419"/>
          <w:sz w:val="24"/>
          <w:szCs w:val="24"/>
          <w:lang w:val="tr-TR" w:eastAsia="tr-TR"/>
        </w:rPr>
        <w:t xml:space="preserve"> adı verilen diğer yasal ve meşru faaliyetler ne anlama gelmektedir? Bunlar, başvurucuların örgütsel bir faaliyetini değil, en fazla bir cemaatle olan bağlarını gösterebilir ve böyle bir bağlantı ya da irtibat kişiyi kesinlikle silahlı örgüt üyesi yapmaz. Yapabilmesi; örgüt kabul edilen yapıya bu kişinin suç işlemek amacıyla girdiğinin ve örgütün nihai amacını bildiğinin (suçun manevi unsuru) ispatına bağlıdır. ​</w:t>
      </w:r>
    </w:p>
    <w:p w:rsidR="00866BBE" w:rsidRDefault="00866BBE" w:rsidP="00866BBE">
      <w:pPr>
        <w:shd w:val="clear" w:color="auto" w:fill="FFFFFF"/>
        <w:spacing w:before="120" w:after="120" w:line="276" w:lineRule="auto"/>
        <w:jc w:val="both"/>
        <w:rPr>
          <w:rFonts w:ascii="Palatino Linotype" w:eastAsia="Times New Roman" w:hAnsi="Palatino Linotype" w:cs="Arial"/>
          <w:color w:val="000000"/>
          <w:sz w:val="24"/>
          <w:szCs w:val="24"/>
          <w:lang w:val="tr-TR" w:eastAsia="tr-TR"/>
        </w:rPr>
      </w:pPr>
      <w:proofErr w:type="spellStart"/>
      <w:r>
        <w:rPr>
          <w:rFonts w:ascii="Palatino Linotype" w:eastAsia="Times New Roman" w:hAnsi="Palatino Linotype" w:cs="Times New Roman"/>
          <w:color w:val="000000"/>
          <w:sz w:val="24"/>
          <w:szCs w:val="24"/>
          <w:lang w:val="tr-TR" w:eastAsia="tr-TR"/>
        </w:rPr>
        <w:t>AİHM’in</w:t>
      </w:r>
      <w:proofErr w:type="spellEnd"/>
      <w:r>
        <w:rPr>
          <w:rFonts w:ascii="Palatino Linotype" w:eastAsia="Times New Roman" w:hAnsi="Palatino Linotype" w:cs="Times New Roman"/>
          <w:color w:val="000000"/>
          <w:sz w:val="24"/>
          <w:szCs w:val="24"/>
          <w:lang w:val="tr-TR" w:eastAsia="tr-TR"/>
        </w:rPr>
        <w:t xml:space="preserve"> </w:t>
      </w:r>
      <w:proofErr w:type="spellStart"/>
      <w:r>
        <w:rPr>
          <w:rFonts w:ascii="Palatino Linotype" w:eastAsia="Times New Roman" w:hAnsi="Palatino Linotype" w:cs="Times New Roman"/>
          <w:color w:val="000000"/>
          <w:sz w:val="24"/>
          <w:szCs w:val="24"/>
          <w:lang w:val="tr-TR" w:eastAsia="tr-TR"/>
        </w:rPr>
        <w:t>Bylock</w:t>
      </w:r>
      <w:proofErr w:type="spellEnd"/>
      <w:r>
        <w:rPr>
          <w:rFonts w:ascii="Palatino Linotype" w:eastAsia="Times New Roman" w:hAnsi="Palatino Linotype" w:cs="Times New Roman"/>
          <w:color w:val="000000"/>
          <w:sz w:val="24"/>
          <w:szCs w:val="24"/>
          <w:lang w:val="tr-TR" w:eastAsia="tr-TR"/>
        </w:rPr>
        <w:t xml:space="preserve"> içeriğinin olmasının tutuklama için </w:t>
      </w:r>
      <w:r>
        <w:rPr>
          <w:rFonts w:ascii="Palatino Linotype" w:eastAsia="Times New Roman" w:hAnsi="Palatino Linotype" w:cs="Times New Roman"/>
          <w:i/>
          <w:color w:val="000000"/>
          <w:sz w:val="24"/>
          <w:szCs w:val="24"/>
          <w:lang w:val="tr-TR" w:eastAsia="tr-TR"/>
        </w:rPr>
        <w:t>“makul şüphe”</w:t>
      </w:r>
      <w:r>
        <w:rPr>
          <w:rFonts w:ascii="Palatino Linotype" w:eastAsia="Times New Roman" w:hAnsi="Palatino Linotype" w:cs="Times New Roman"/>
          <w:color w:val="000000"/>
          <w:sz w:val="24"/>
          <w:szCs w:val="24"/>
          <w:lang w:val="tr-TR" w:eastAsia="tr-TR"/>
        </w:rPr>
        <w:t xml:space="preserve"> ve suç delili olarak kabul edilebileceği şeklindeki (P. 174) bir yorum, AİHM içtihatlarıyla </w:t>
      </w:r>
      <w:proofErr w:type="gramStart"/>
      <w:r>
        <w:rPr>
          <w:rFonts w:ascii="Palatino Linotype" w:eastAsia="Times New Roman" w:hAnsi="Palatino Linotype" w:cs="Times New Roman"/>
          <w:color w:val="000000"/>
          <w:sz w:val="24"/>
          <w:szCs w:val="24"/>
          <w:lang w:val="tr-TR" w:eastAsia="tr-TR"/>
        </w:rPr>
        <w:t>da  bağdaşmamaktadır</w:t>
      </w:r>
      <w:proofErr w:type="gramEnd"/>
      <w:r>
        <w:rPr>
          <w:rFonts w:ascii="Palatino Linotype" w:eastAsia="Times New Roman" w:hAnsi="Palatino Linotype" w:cs="Times New Roman"/>
          <w:color w:val="000000"/>
          <w:sz w:val="24"/>
          <w:szCs w:val="24"/>
          <w:lang w:val="tr-TR" w:eastAsia="tr-TR"/>
        </w:rPr>
        <w:t>. Zira AİHM, gerçekleştirildiği dönemdeki yasal ve meşru ya da bir hak veya özgürlüğün kullanımı niteliğindeki faaliyetlerin suç olarak cezalandırılmasını haklı görmemektedir (</w:t>
      </w:r>
      <w:proofErr w:type="spellStart"/>
      <w:r>
        <w:rPr>
          <w:rFonts w:ascii="Palatino Linotype" w:eastAsia="Times New Roman" w:hAnsi="Palatino Linotype" w:cs="Times New Roman"/>
          <w:i/>
          <w:iCs/>
          <w:color w:val="222222"/>
          <w:sz w:val="24"/>
          <w:szCs w:val="24"/>
          <w:lang w:val="tr-TR" w:eastAsia="tr-TR"/>
        </w:rPr>
        <w:t>Kandjov</w:t>
      </w:r>
      <w:proofErr w:type="spellEnd"/>
      <w:r>
        <w:rPr>
          <w:rFonts w:ascii="Palatino Linotype" w:eastAsia="Times New Roman" w:hAnsi="Palatino Linotype" w:cs="Times New Roman"/>
          <w:i/>
          <w:iCs/>
          <w:color w:val="222222"/>
          <w:sz w:val="24"/>
          <w:szCs w:val="24"/>
          <w:lang w:val="tr-TR" w:eastAsia="tr-TR"/>
        </w:rPr>
        <w:t>/Bulgaristan</w:t>
      </w:r>
      <w:r>
        <w:rPr>
          <w:rFonts w:ascii="Palatino Linotype" w:eastAsia="Times New Roman" w:hAnsi="Palatino Linotype" w:cs="Times New Roman"/>
          <w:color w:val="222222"/>
          <w:sz w:val="24"/>
          <w:szCs w:val="24"/>
          <w:lang w:val="tr-TR" w:eastAsia="tr-TR"/>
        </w:rPr>
        <w:t xml:space="preserve">, no. 68294/01, § 57, </w:t>
      </w:r>
      <w:proofErr w:type="gramStart"/>
      <w:r>
        <w:rPr>
          <w:rFonts w:ascii="Palatino Linotype" w:eastAsia="Times New Roman" w:hAnsi="Palatino Linotype" w:cs="Times New Roman"/>
          <w:color w:val="222222"/>
          <w:sz w:val="24"/>
          <w:szCs w:val="24"/>
          <w:lang w:val="tr-TR" w:eastAsia="tr-TR"/>
        </w:rPr>
        <w:t>06/11/2008</w:t>
      </w:r>
      <w:proofErr w:type="gramEnd"/>
      <w:r>
        <w:rPr>
          <w:rFonts w:ascii="Palatino Linotype" w:eastAsia="Times New Roman" w:hAnsi="Palatino Linotype" w:cs="Times New Roman"/>
          <w:color w:val="222222"/>
          <w:sz w:val="24"/>
          <w:szCs w:val="24"/>
          <w:lang w:val="tr-TR" w:eastAsia="tr-TR"/>
        </w:rPr>
        <w:t xml:space="preserve">; </w:t>
      </w:r>
      <w:proofErr w:type="spellStart"/>
      <w:r>
        <w:rPr>
          <w:rFonts w:ascii="Palatino Linotype" w:eastAsia="Times New Roman" w:hAnsi="Palatino Linotype" w:cs="Times New Roman"/>
          <w:i/>
          <w:iCs/>
          <w:color w:val="222222"/>
          <w:sz w:val="24"/>
          <w:szCs w:val="24"/>
          <w:lang w:val="tr-TR" w:eastAsia="tr-TR"/>
        </w:rPr>
        <w:t>Mammadli</w:t>
      </w:r>
      <w:proofErr w:type="spellEnd"/>
      <w:r>
        <w:rPr>
          <w:rFonts w:ascii="Palatino Linotype" w:eastAsia="Times New Roman" w:hAnsi="Palatino Linotype" w:cs="Times New Roman"/>
          <w:i/>
          <w:iCs/>
          <w:color w:val="222222"/>
          <w:sz w:val="24"/>
          <w:szCs w:val="24"/>
          <w:lang w:val="tr-TR" w:eastAsia="tr-TR"/>
        </w:rPr>
        <w:t>/Azerbaycan</w:t>
      </w:r>
      <w:r>
        <w:rPr>
          <w:rFonts w:ascii="Palatino Linotype" w:eastAsia="Times New Roman" w:hAnsi="Palatino Linotype" w:cs="Times New Roman"/>
          <w:color w:val="222222"/>
          <w:sz w:val="24"/>
          <w:szCs w:val="24"/>
          <w:lang w:val="tr-TR" w:eastAsia="tr-TR"/>
        </w:rPr>
        <w:t xml:space="preserve">, no. 47145/14, § 52, 19/4/2018; Ragıp </w:t>
      </w:r>
      <w:proofErr w:type="spellStart"/>
      <w:r>
        <w:rPr>
          <w:rFonts w:ascii="Palatino Linotype" w:eastAsia="Times New Roman" w:hAnsi="Palatino Linotype" w:cs="Times New Roman"/>
          <w:color w:val="222222"/>
          <w:sz w:val="24"/>
          <w:szCs w:val="24"/>
          <w:lang w:val="tr-TR" w:eastAsia="tr-TR"/>
        </w:rPr>
        <w:t>Zarakolu</w:t>
      </w:r>
      <w:proofErr w:type="spellEnd"/>
      <w:r>
        <w:rPr>
          <w:rFonts w:ascii="Palatino Linotype" w:eastAsia="Times New Roman" w:hAnsi="Palatino Linotype" w:cs="Times New Roman"/>
          <w:color w:val="222222"/>
          <w:sz w:val="24"/>
          <w:szCs w:val="24"/>
          <w:lang w:val="tr-TR" w:eastAsia="tr-TR"/>
        </w:rPr>
        <w:t>/Türkiye, no. </w:t>
      </w:r>
      <w:r>
        <w:rPr>
          <w:rFonts w:ascii="Palatino Linotype" w:hAnsi="Palatino Linotype"/>
          <w:sz w:val="24"/>
          <w:szCs w:val="24"/>
          <w:lang w:val="tr-TR"/>
        </w:rPr>
        <w:t>15064/12</w:t>
      </w:r>
      <w:r>
        <w:rPr>
          <w:rFonts w:ascii="Palatino Linotype" w:eastAsia="Times New Roman" w:hAnsi="Palatino Linotype" w:cs="Times New Roman"/>
          <w:color w:val="222222"/>
          <w:sz w:val="24"/>
          <w:szCs w:val="24"/>
          <w:lang w:val="tr-TR" w:eastAsia="tr-TR"/>
        </w:rPr>
        <w:t>, §§</w:t>
      </w:r>
      <w:r>
        <w:rPr>
          <w:rFonts w:ascii="Palatino Linotype" w:hAnsi="Palatino Linotype"/>
          <w:sz w:val="24"/>
          <w:szCs w:val="24"/>
          <w:lang w:val="tr-TR"/>
        </w:rPr>
        <w:t> 40, 41, 15/9/2020</w:t>
      </w:r>
      <w:r>
        <w:rPr>
          <w:rFonts w:ascii="Palatino Linotype" w:eastAsia="Times New Roman" w:hAnsi="Palatino Linotype" w:cs="Arial"/>
          <w:color w:val="000000"/>
          <w:sz w:val="24"/>
          <w:szCs w:val="24"/>
          <w:lang w:val="tr-TR" w:eastAsia="tr-TR"/>
        </w:rPr>
        <w:t xml:space="preserve">). </w:t>
      </w:r>
    </w:p>
    <w:p w:rsidR="00866BBE" w:rsidRDefault="00866BBE" w:rsidP="00866BBE">
      <w:pPr>
        <w:shd w:val="clear" w:color="auto" w:fill="FFFFFF"/>
        <w:spacing w:before="120" w:after="120" w:line="276" w:lineRule="auto"/>
        <w:jc w:val="both"/>
        <w:rPr>
          <w:rFonts w:ascii="Palatino Linotype" w:eastAsia="Times New Roman" w:hAnsi="Palatino Linotype" w:cs="Arial"/>
          <w:color w:val="000000"/>
          <w:sz w:val="24"/>
          <w:szCs w:val="24"/>
          <w:lang w:val="tr-TR" w:eastAsia="tr-TR"/>
        </w:rPr>
      </w:pPr>
      <w:r>
        <w:rPr>
          <w:rFonts w:ascii="Palatino Linotype" w:eastAsia="Times New Roman" w:hAnsi="Palatino Linotype" w:cs="Arial"/>
          <w:color w:val="000000"/>
          <w:sz w:val="24"/>
          <w:szCs w:val="24"/>
          <w:lang w:val="tr-TR" w:eastAsia="tr-TR"/>
        </w:rPr>
        <w:t xml:space="preserve">Dolayısıyla, kişilerin </w:t>
      </w:r>
      <w:proofErr w:type="spellStart"/>
      <w:r>
        <w:rPr>
          <w:rFonts w:ascii="Palatino Linotype" w:eastAsia="Times New Roman" w:hAnsi="Palatino Linotype" w:cs="Arial"/>
          <w:color w:val="000000"/>
          <w:sz w:val="24"/>
          <w:szCs w:val="24"/>
          <w:lang w:val="tr-TR" w:eastAsia="tr-TR"/>
        </w:rPr>
        <w:t>Bylock</w:t>
      </w:r>
      <w:proofErr w:type="spellEnd"/>
      <w:r>
        <w:rPr>
          <w:rFonts w:ascii="Palatino Linotype" w:eastAsia="Times New Roman" w:hAnsi="Palatino Linotype" w:cs="Arial"/>
          <w:color w:val="000000"/>
          <w:sz w:val="24"/>
          <w:szCs w:val="24"/>
          <w:lang w:val="tr-TR" w:eastAsia="tr-TR"/>
        </w:rPr>
        <w:t xml:space="preserve"> yoluyla yapılan paylaşımların ya da tanık beyanları veya diğer </w:t>
      </w:r>
      <w:proofErr w:type="gramStart"/>
      <w:r>
        <w:rPr>
          <w:rFonts w:ascii="Palatino Linotype" w:eastAsia="Times New Roman" w:hAnsi="Palatino Linotype" w:cs="Arial"/>
          <w:color w:val="000000"/>
          <w:sz w:val="24"/>
          <w:szCs w:val="24"/>
          <w:lang w:val="tr-TR" w:eastAsia="tr-TR"/>
        </w:rPr>
        <w:t>kriter</w:t>
      </w:r>
      <w:proofErr w:type="gramEnd"/>
      <w:r>
        <w:rPr>
          <w:rFonts w:ascii="Palatino Linotype" w:eastAsia="Times New Roman" w:hAnsi="Palatino Linotype" w:cs="Arial"/>
          <w:color w:val="000000"/>
          <w:sz w:val="24"/>
          <w:szCs w:val="24"/>
          <w:lang w:val="tr-TR" w:eastAsia="tr-TR"/>
        </w:rPr>
        <w:t xml:space="preserve"> kabul edilen hususların suç oluşturmayan ve Anayasa ve </w:t>
      </w:r>
      <w:proofErr w:type="spellStart"/>
      <w:r>
        <w:rPr>
          <w:rFonts w:ascii="Palatino Linotype" w:eastAsia="Times New Roman" w:hAnsi="Palatino Linotype" w:cs="Arial"/>
          <w:color w:val="000000"/>
          <w:sz w:val="24"/>
          <w:szCs w:val="24"/>
          <w:lang w:val="tr-TR" w:eastAsia="tr-TR"/>
        </w:rPr>
        <w:t>AİHS’te</w:t>
      </w:r>
      <w:proofErr w:type="spellEnd"/>
      <w:r>
        <w:rPr>
          <w:rFonts w:ascii="Palatino Linotype" w:eastAsia="Times New Roman" w:hAnsi="Palatino Linotype" w:cs="Arial"/>
          <w:color w:val="000000"/>
          <w:sz w:val="24"/>
          <w:szCs w:val="24"/>
          <w:lang w:val="tr-TR" w:eastAsia="tr-TR"/>
        </w:rPr>
        <w:t xml:space="preserve"> düzenlenen bir hakkın kullanımı niteliğinde, örneğin dini sohbet veya piknik için bir yerde buluşulmasına ya da dini nitelikteki metinlerin paylaşılmasına ilişkin olması halinde, bu içerik ya da anlatımların örgüt üyeliğinin delili olarak kabulü halinde </w:t>
      </w:r>
      <w:proofErr w:type="spellStart"/>
      <w:r>
        <w:rPr>
          <w:rFonts w:ascii="Palatino Linotype" w:eastAsia="Times New Roman" w:hAnsi="Palatino Linotype" w:cs="Arial"/>
          <w:color w:val="000000"/>
          <w:sz w:val="24"/>
          <w:szCs w:val="24"/>
          <w:lang w:val="tr-TR" w:eastAsia="tr-TR"/>
        </w:rPr>
        <w:t>AİHM’in</w:t>
      </w:r>
      <w:proofErr w:type="spellEnd"/>
      <w:r>
        <w:rPr>
          <w:rFonts w:ascii="Palatino Linotype" w:eastAsia="Times New Roman" w:hAnsi="Palatino Linotype" w:cs="Arial"/>
          <w:color w:val="000000"/>
          <w:sz w:val="24"/>
          <w:szCs w:val="24"/>
          <w:lang w:val="tr-TR" w:eastAsia="tr-TR"/>
        </w:rPr>
        <w:t xml:space="preserve"> ihlal kararı vereceği açıktır.</w:t>
      </w:r>
    </w:p>
    <w:p w:rsidR="00866BBE" w:rsidRDefault="00866BBE" w:rsidP="00866BBE">
      <w:pPr>
        <w:shd w:val="clear" w:color="auto" w:fill="FFFFFF"/>
        <w:spacing w:before="120" w:after="120" w:line="276" w:lineRule="auto"/>
        <w:jc w:val="both"/>
        <w:rPr>
          <w:rFonts w:ascii="Palatino Linotype" w:eastAsia="Times New Roman" w:hAnsi="Palatino Linotype" w:cs="Arial"/>
          <w:color w:val="000000"/>
          <w:sz w:val="24"/>
          <w:szCs w:val="24"/>
          <w:lang w:val="tr-TR" w:eastAsia="tr-TR"/>
        </w:rPr>
      </w:pPr>
      <w:r>
        <w:rPr>
          <w:rFonts w:ascii="Palatino Linotype" w:eastAsia="Times New Roman" w:hAnsi="Palatino Linotype" w:cs="Arial"/>
          <w:color w:val="000000"/>
          <w:sz w:val="24"/>
          <w:szCs w:val="24"/>
          <w:lang w:val="tr-TR" w:eastAsia="tr-TR"/>
        </w:rPr>
        <w:t xml:space="preserve">Bu içerik, anlatım ve </w:t>
      </w:r>
      <w:proofErr w:type="gramStart"/>
      <w:r>
        <w:rPr>
          <w:rFonts w:ascii="Palatino Linotype" w:eastAsia="Times New Roman" w:hAnsi="Palatino Linotype" w:cs="Arial"/>
          <w:color w:val="000000"/>
          <w:sz w:val="24"/>
          <w:szCs w:val="24"/>
          <w:lang w:val="tr-TR" w:eastAsia="tr-TR"/>
        </w:rPr>
        <w:t>kriterler</w:t>
      </w:r>
      <w:proofErr w:type="gramEnd"/>
      <w:r>
        <w:rPr>
          <w:rFonts w:ascii="Palatino Linotype" w:eastAsia="Times New Roman" w:hAnsi="Palatino Linotype" w:cs="Arial"/>
          <w:color w:val="000000"/>
          <w:sz w:val="24"/>
          <w:szCs w:val="24"/>
          <w:lang w:val="tr-TR" w:eastAsia="tr-TR"/>
        </w:rPr>
        <w:t>, ancak silahlı örgüt kabul edilen yapının nihai amacını (darbe teşebbüsü) gerçekleştirmeye yönelik olması (yaralama, öldürme, bombalama vb.) ve yasaya uygun olarak elde edilmeleri halinde delil olabilir.</w:t>
      </w:r>
    </w:p>
    <w:p w:rsidR="00866BBE" w:rsidRDefault="00866BBE" w:rsidP="00866BBE">
      <w:pPr>
        <w:shd w:val="clear" w:color="auto" w:fill="FFFFFF"/>
        <w:spacing w:before="120" w:after="120" w:line="276" w:lineRule="auto"/>
        <w:jc w:val="both"/>
        <w:outlineLvl w:val="0"/>
        <w:rPr>
          <w:rFonts w:ascii="Palatino Linotype" w:eastAsia="Times New Roman" w:hAnsi="Palatino Linotype" w:cs="Arial"/>
          <w:b/>
          <w:color w:val="000000"/>
          <w:sz w:val="24"/>
          <w:szCs w:val="24"/>
          <w:lang w:val="tr-TR" w:eastAsia="tr-TR"/>
        </w:rPr>
      </w:pPr>
      <w:r>
        <w:rPr>
          <w:rFonts w:ascii="Palatino Linotype" w:eastAsia="Times New Roman" w:hAnsi="Palatino Linotype" w:cs="Arial"/>
          <w:b/>
          <w:color w:val="000000"/>
          <w:sz w:val="24"/>
          <w:szCs w:val="24"/>
          <w:lang w:val="tr-TR" w:eastAsia="tr-TR"/>
        </w:rPr>
        <w:lastRenderedPageBreak/>
        <w:t xml:space="preserve">4. </w:t>
      </w:r>
      <w:proofErr w:type="spellStart"/>
      <w:r>
        <w:rPr>
          <w:rFonts w:ascii="Palatino Linotype" w:eastAsia="Times New Roman" w:hAnsi="Palatino Linotype" w:cs="Arial"/>
          <w:b/>
          <w:color w:val="000000"/>
          <w:sz w:val="24"/>
          <w:szCs w:val="24"/>
          <w:lang w:val="tr-TR" w:eastAsia="tr-TR"/>
        </w:rPr>
        <w:t>AİHM’in</w:t>
      </w:r>
      <w:proofErr w:type="spellEnd"/>
      <w:r>
        <w:rPr>
          <w:rFonts w:ascii="Palatino Linotype" w:eastAsia="Times New Roman" w:hAnsi="Palatino Linotype" w:cs="Arial"/>
          <w:b/>
          <w:color w:val="000000"/>
          <w:sz w:val="24"/>
          <w:szCs w:val="24"/>
          <w:lang w:val="tr-TR" w:eastAsia="tr-TR"/>
        </w:rPr>
        <w:t xml:space="preserve"> Adil Yargılanma ve Özel Yaşam Hakkının İhlaliyle İlgili Bir Tespitte Bulunmaması Dosyaları İnceleme Tekniğinden Kaynaklanmaktadır</w:t>
      </w:r>
    </w:p>
    <w:p w:rsidR="00866BBE" w:rsidRDefault="00866BBE" w:rsidP="00866BBE">
      <w:pPr>
        <w:shd w:val="clear" w:color="auto" w:fill="FFFFFF"/>
        <w:spacing w:before="120" w:after="120" w:line="276" w:lineRule="auto"/>
        <w:jc w:val="both"/>
        <w:rPr>
          <w:rFonts w:ascii="Palatino Linotype" w:eastAsia="Times New Roman" w:hAnsi="Palatino Linotype" w:cs="Arial"/>
          <w:color w:val="222222"/>
          <w:sz w:val="24"/>
          <w:szCs w:val="24"/>
          <w:lang w:val="tr-TR" w:eastAsia="tr-TR"/>
        </w:rPr>
      </w:pPr>
      <w:r>
        <w:rPr>
          <w:rFonts w:ascii="Palatino Linotype" w:hAnsi="Palatino Linotype"/>
          <w:sz w:val="24"/>
          <w:szCs w:val="24"/>
          <w:lang w:val="tr-TR"/>
        </w:rPr>
        <w:t xml:space="preserve">Bu kararda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hukuka aykırı ele geçirildiği hususunda tespitte bulunulmamasının, </w:t>
      </w:r>
      <w:proofErr w:type="spellStart"/>
      <w:r>
        <w:rPr>
          <w:rFonts w:ascii="Palatino Linotype" w:hAnsi="Palatino Linotype"/>
          <w:sz w:val="24"/>
          <w:szCs w:val="24"/>
          <w:lang w:val="tr-TR"/>
        </w:rPr>
        <w:t>AİHM’in</w:t>
      </w:r>
      <w:proofErr w:type="spellEnd"/>
      <w:r>
        <w:rPr>
          <w:rFonts w:ascii="Palatino Linotype" w:hAnsi="Palatino Linotype"/>
          <w:sz w:val="24"/>
          <w:szCs w:val="24"/>
          <w:lang w:val="tr-TR"/>
        </w:rPr>
        <w:t xml:space="preserve"> inceleme tekniğinden kaynaklandığı ve bu hususu kesinleşmiş mahkûmiyet kararına karşı yapılan başvurularda inceleyeceği düşünülmektedir. Zira mevcut</w:t>
      </w:r>
      <w:r>
        <w:rPr>
          <w:rFonts w:ascii="Palatino Linotype" w:eastAsia="Times New Roman" w:hAnsi="Palatino Linotype" w:cs="Times New Roman"/>
          <w:color w:val="222222"/>
          <w:sz w:val="24"/>
          <w:szCs w:val="24"/>
          <w:lang w:val="tr-TR" w:eastAsia="tr-TR"/>
        </w:rPr>
        <w:t xml:space="preserve"> kararda, başvurucunun şikâyetlerini; tutuklanmasını gerektirecek makul bir şüphenin bulunmadığı ve tutuklama kararında bu tedbiri haklı kılacak gerekçenin sunulmadığı noktaları üzerine yoğunlaştırdığı </w:t>
      </w:r>
      <w:proofErr w:type="gramStart"/>
      <w:r>
        <w:rPr>
          <w:rFonts w:ascii="Palatino Linotype" w:eastAsia="Times New Roman" w:hAnsi="Palatino Linotype" w:cs="Times New Roman"/>
          <w:color w:val="222222"/>
          <w:sz w:val="24"/>
          <w:szCs w:val="24"/>
          <w:lang w:val="tr-TR" w:eastAsia="tr-TR"/>
        </w:rPr>
        <w:t>(</w:t>
      </w:r>
      <w:proofErr w:type="gramEnd"/>
      <w:r>
        <w:rPr>
          <w:rFonts w:ascii="Palatino Linotype" w:eastAsia="Times New Roman" w:hAnsi="Palatino Linotype" w:cs="Times New Roman"/>
          <w:color w:val="222222"/>
          <w:sz w:val="24"/>
          <w:szCs w:val="24"/>
          <w:lang w:val="tr-TR" w:eastAsia="tr-TR"/>
        </w:rPr>
        <w:t xml:space="preserve">par. 118) ve dolayısıyla başvurucunun; </w:t>
      </w:r>
      <w:r>
        <w:rPr>
          <w:rFonts w:ascii="Palatino Linotype" w:eastAsia="Times New Roman" w:hAnsi="Palatino Linotype" w:cs="Times New Roman"/>
          <w:i/>
          <w:color w:val="222222"/>
          <w:sz w:val="24"/>
          <w:szCs w:val="24"/>
          <w:lang w:val="tr-TR" w:eastAsia="tr-TR"/>
        </w:rPr>
        <w:t>“</w:t>
      </w:r>
      <w:proofErr w:type="spellStart"/>
      <w:r>
        <w:rPr>
          <w:rFonts w:ascii="Palatino Linotype" w:eastAsia="Times New Roman" w:hAnsi="Palatino Linotype" w:cs="Times New Roman"/>
          <w:i/>
          <w:color w:val="222222"/>
          <w:sz w:val="24"/>
          <w:szCs w:val="24"/>
          <w:lang w:val="tr-TR" w:eastAsia="tr-TR"/>
        </w:rPr>
        <w:t>Bylock</w:t>
      </w:r>
      <w:proofErr w:type="spellEnd"/>
      <w:r>
        <w:rPr>
          <w:rFonts w:ascii="Palatino Linotype" w:eastAsia="Times New Roman" w:hAnsi="Palatino Linotype" w:cs="Times New Roman"/>
          <w:i/>
          <w:color w:val="222222"/>
          <w:sz w:val="24"/>
          <w:szCs w:val="24"/>
          <w:lang w:val="tr-TR" w:eastAsia="tr-TR"/>
        </w:rPr>
        <w:t xml:space="preserve"> hukuka aykırı elde edilmiştir, CMK hükümlerine uyulmamıştır veya özel yaşam hakkı ihlal edilmiştir”</w:t>
      </w:r>
      <w:r>
        <w:rPr>
          <w:rFonts w:ascii="Palatino Linotype" w:eastAsia="Times New Roman" w:hAnsi="Palatino Linotype" w:cs="Times New Roman"/>
          <w:color w:val="222222"/>
          <w:sz w:val="24"/>
          <w:szCs w:val="24"/>
          <w:lang w:val="tr-TR" w:eastAsia="tr-TR"/>
        </w:rPr>
        <w:t xml:space="preserve"> gibi bir iddia dile getirmediği anlaşılmaktadır. Bu nedenle, </w:t>
      </w:r>
      <w:proofErr w:type="spellStart"/>
      <w:r>
        <w:rPr>
          <w:rFonts w:ascii="Palatino Linotype" w:eastAsia="Times New Roman" w:hAnsi="Palatino Linotype" w:cs="Times New Roman"/>
          <w:color w:val="222222"/>
          <w:sz w:val="24"/>
          <w:szCs w:val="24"/>
          <w:lang w:val="tr-TR" w:eastAsia="tr-TR"/>
        </w:rPr>
        <w:t>AİHM’in</w:t>
      </w:r>
      <w:proofErr w:type="spellEnd"/>
      <w:r>
        <w:rPr>
          <w:rFonts w:ascii="Palatino Linotype" w:eastAsia="Times New Roman" w:hAnsi="Palatino Linotype" w:cs="Times New Roman"/>
          <w:color w:val="222222"/>
          <w:sz w:val="24"/>
          <w:szCs w:val="24"/>
          <w:lang w:val="tr-TR" w:eastAsia="tr-TR"/>
        </w:rPr>
        <w:t xml:space="preserve"> bu konuya girmemesi doğal karşılanmalıdır. </w:t>
      </w:r>
      <w:proofErr w:type="spellStart"/>
      <w:r>
        <w:rPr>
          <w:rFonts w:ascii="Palatino Linotype" w:eastAsia="Times New Roman" w:hAnsi="Palatino Linotype" w:cs="Times New Roman"/>
          <w:color w:val="222222"/>
          <w:sz w:val="24"/>
          <w:szCs w:val="24"/>
          <w:lang w:val="tr-TR" w:eastAsia="tr-TR"/>
        </w:rPr>
        <w:t>Bylock</w:t>
      </w:r>
      <w:proofErr w:type="spellEnd"/>
      <w:r>
        <w:rPr>
          <w:rFonts w:ascii="Palatino Linotype" w:eastAsia="Times New Roman" w:hAnsi="Palatino Linotype" w:cs="Times New Roman"/>
          <w:color w:val="222222"/>
          <w:sz w:val="24"/>
          <w:szCs w:val="24"/>
          <w:lang w:val="tr-TR" w:eastAsia="tr-TR"/>
        </w:rPr>
        <w:t xml:space="preserve"> verilerinin hukukiliği incelenmediği için de, </w:t>
      </w:r>
      <w:proofErr w:type="spellStart"/>
      <w:r>
        <w:rPr>
          <w:rFonts w:ascii="Palatino Linotype" w:eastAsia="Times New Roman" w:hAnsi="Palatino Linotype" w:cs="Times New Roman"/>
          <w:color w:val="222222"/>
          <w:sz w:val="24"/>
          <w:szCs w:val="24"/>
          <w:lang w:val="tr-TR" w:eastAsia="tr-TR"/>
        </w:rPr>
        <w:t>AİHM’in</w:t>
      </w:r>
      <w:proofErr w:type="spellEnd"/>
      <w:r>
        <w:rPr>
          <w:rFonts w:ascii="Palatino Linotype" w:eastAsia="Times New Roman" w:hAnsi="Palatino Linotype" w:cs="Times New Roman"/>
          <w:color w:val="222222"/>
          <w:sz w:val="24"/>
          <w:szCs w:val="24"/>
          <w:lang w:val="tr-TR" w:eastAsia="tr-TR"/>
        </w:rPr>
        <w:t xml:space="preserve"> </w:t>
      </w:r>
      <w:proofErr w:type="spellStart"/>
      <w:r>
        <w:rPr>
          <w:rFonts w:ascii="Palatino Linotype" w:eastAsia="Times New Roman" w:hAnsi="Palatino Linotype" w:cs="Times New Roman"/>
          <w:color w:val="222222"/>
          <w:sz w:val="24"/>
          <w:szCs w:val="24"/>
          <w:lang w:val="tr-TR" w:eastAsia="tr-TR"/>
        </w:rPr>
        <w:t>Bylock</w:t>
      </w:r>
      <w:proofErr w:type="spellEnd"/>
      <w:r>
        <w:rPr>
          <w:rFonts w:ascii="Palatino Linotype" w:eastAsia="Times New Roman" w:hAnsi="Palatino Linotype" w:cs="Times New Roman"/>
          <w:color w:val="222222"/>
          <w:sz w:val="24"/>
          <w:szCs w:val="24"/>
          <w:lang w:val="tr-TR" w:eastAsia="tr-TR"/>
        </w:rPr>
        <w:t xml:space="preserve"> delilini hukuka uygun kabul ettiğini söylemek doğru olmayacaktır.</w:t>
      </w:r>
    </w:p>
    <w:p w:rsidR="00866BBE" w:rsidRDefault="00866BBE" w:rsidP="00866BBE">
      <w:pPr>
        <w:shd w:val="clear" w:color="auto" w:fill="FFFFFF"/>
        <w:spacing w:before="120" w:after="120" w:line="276" w:lineRule="auto"/>
        <w:jc w:val="both"/>
        <w:rPr>
          <w:rFonts w:ascii="Palatino Linotype" w:eastAsia="Times New Roman" w:hAnsi="Palatino Linotype" w:cs="Arial"/>
          <w:color w:val="000000"/>
          <w:sz w:val="24"/>
          <w:szCs w:val="24"/>
          <w:lang w:val="tr-TR" w:eastAsia="tr-TR"/>
        </w:rPr>
      </w:pPr>
      <w:proofErr w:type="spellStart"/>
      <w:r>
        <w:rPr>
          <w:rFonts w:ascii="Palatino Linotype" w:eastAsia="Times New Roman" w:hAnsi="Palatino Linotype" w:cs="Times New Roman"/>
          <w:color w:val="222222"/>
          <w:sz w:val="24"/>
          <w:szCs w:val="24"/>
          <w:lang w:val="tr-TR" w:eastAsia="tr-TR"/>
        </w:rPr>
        <w:t>Bylock’un</w:t>
      </w:r>
      <w:proofErr w:type="spellEnd"/>
      <w:r>
        <w:rPr>
          <w:rFonts w:ascii="Palatino Linotype" w:eastAsia="Times New Roman" w:hAnsi="Palatino Linotype" w:cs="Times New Roman"/>
          <w:color w:val="222222"/>
          <w:sz w:val="24"/>
          <w:szCs w:val="24"/>
          <w:lang w:val="tr-TR" w:eastAsia="tr-TR"/>
        </w:rPr>
        <w:t xml:space="preserve"> hukuka aykırı delil oluşturup oluşturmadığı hususunda, </w:t>
      </w:r>
      <w:proofErr w:type="spellStart"/>
      <w:r>
        <w:rPr>
          <w:rFonts w:ascii="Palatino Linotype" w:eastAsia="Times New Roman" w:hAnsi="Palatino Linotype" w:cs="Times New Roman"/>
          <w:color w:val="222222"/>
          <w:sz w:val="24"/>
          <w:szCs w:val="24"/>
          <w:lang w:val="tr-TR" w:eastAsia="tr-TR"/>
        </w:rPr>
        <w:t>Yalçınkaya</w:t>
      </w:r>
      <w:proofErr w:type="spellEnd"/>
      <w:r>
        <w:rPr>
          <w:rFonts w:ascii="Palatino Linotype" w:eastAsia="Times New Roman" w:hAnsi="Palatino Linotype" w:cs="Times New Roman"/>
          <w:color w:val="222222"/>
          <w:sz w:val="24"/>
          <w:szCs w:val="24"/>
          <w:lang w:val="tr-TR" w:eastAsia="tr-TR"/>
        </w:rPr>
        <w:t>/Türkiye (No. </w:t>
      </w:r>
      <w:r>
        <w:rPr>
          <w:rFonts w:ascii="Palatino Linotype" w:eastAsia="Times New Roman" w:hAnsi="Palatino Linotype" w:cs="Times New Roman"/>
          <w:color w:val="000000"/>
          <w:sz w:val="24"/>
          <w:szCs w:val="24"/>
          <w:lang w:val="tr-TR" w:eastAsia="tr-TR"/>
        </w:rPr>
        <w:t>15669/20</w:t>
      </w:r>
      <w:r>
        <w:rPr>
          <w:rFonts w:ascii="Palatino Linotype" w:eastAsia="Times New Roman" w:hAnsi="Palatino Linotype" w:cs="Arial"/>
          <w:color w:val="000000"/>
          <w:sz w:val="24"/>
          <w:szCs w:val="24"/>
          <w:lang w:val="tr-TR" w:eastAsia="tr-TR"/>
        </w:rPr>
        <w:t xml:space="preserve">) başvurusunda adil yargılanma hakkı altında </w:t>
      </w:r>
      <w:proofErr w:type="spellStart"/>
      <w:r>
        <w:rPr>
          <w:rFonts w:ascii="Palatino Linotype" w:eastAsia="Times New Roman" w:hAnsi="Palatino Linotype" w:cs="Arial"/>
          <w:color w:val="000000"/>
          <w:sz w:val="24"/>
          <w:szCs w:val="24"/>
          <w:lang w:val="tr-TR" w:eastAsia="tr-TR"/>
        </w:rPr>
        <w:t>Hükumetin</w:t>
      </w:r>
      <w:proofErr w:type="spellEnd"/>
      <w:r>
        <w:rPr>
          <w:rFonts w:ascii="Palatino Linotype" w:eastAsia="Times New Roman" w:hAnsi="Palatino Linotype" w:cs="Arial"/>
          <w:color w:val="000000"/>
          <w:sz w:val="24"/>
          <w:szCs w:val="24"/>
          <w:lang w:val="tr-TR" w:eastAsia="tr-TR"/>
        </w:rPr>
        <w:t xml:space="preserve"> savunma yapması istenmiştir ve bu konu bu başvuruda verilecek karar da açıklığa kavuşacaktır.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Yine somut olayda,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iddiası ile tutuklanan başvurucunun özgürlüğünün haksız şekilde kısıtlandığı tespit edilmiştir. Bu tespit, kesinleşmiş mahkûmiyet kararına karşı yapılmış adil yargılanma hakkı kapsamındaki bir olayla ilgili değildir. Ancak, bu kararın adil yargılanma ve hatta özel hayatın (iletişimin) gizliliğinin ihlali başvuruları açısından da umut verici olduğunu söylemek mümkündür.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Zira yerleşik AİHM içtihatları dikkate alındığında, kişilerin makul şüphe oluşturacak, yani objektif üçüncü kişiyi ikna edebilecek delille tutuklanması mümkündür. Ancak mahkûmiyet için bunun çok ötesinde, kişinin kesin olarak suçlu olduğunu saptamaya yarayacak kesin delillerin bulunması gerekir. Dolayısıyla, tutuklama için yeterli olmayan bir husus, mahkûmiyet için hiçbir şekilde yeterli olmayacaktır. Yani bir kişinin tutuklanması bakımından yeterli görülmeyen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kullanıcılığı iddiasına dayanılarak kişinin cezalandırılması durumunda, AİHM tarafından adil yargılanma hakkının ihlal edildiğine karar verileceği izahtan varestedir.</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t xml:space="preserve">Zaten AİHM, </w:t>
      </w:r>
      <w:proofErr w:type="spellStart"/>
      <w:r>
        <w:rPr>
          <w:rFonts w:ascii="Palatino Linotype" w:hAnsi="Palatino Linotype"/>
          <w:sz w:val="24"/>
          <w:szCs w:val="24"/>
          <w:lang w:val="tr-TR"/>
        </w:rPr>
        <w:t>Yalçınkaya</w:t>
      </w:r>
      <w:proofErr w:type="spellEnd"/>
      <w:r>
        <w:rPr>
          <w:rFonts w:ascii="Palatino Linotype" w:hAnsi="Palatino Linotype"/>
          <w:sz w:val="24"/>
          <w:szCs w:val="24"/>
          <w:lang w:val="tr-TR"/>
        </w:rPr>
        <w:t xml:space="preserve"> ve sonraki beş ayrı başvuruda </w:t>
      </w:r>
      <w:proofErr w:type="spellStart"/>
      <w:r>
        <w:rPr>
          <w:rFonts w:ascii="Palatino Linotype" w:hAnsi="Palatino Linotype"/>
          <w:sz w:val="24"/>
          <w:szCs w:val="24"/>
          <w:lang w:val="tr-TR"/>
        </w:rPr>
        <w:t>Bylock’un</w:t>
      </w:r>
      <w:proofErr w:type="spellEnd"/>
      <w:r>
        <w:rPr>
          <w:rFonts w:ascii="Palatino Linotype" w:hAnsi="Palatino Linotype"/>
          <w:sz w:val="24"/>
          <w:szCs w:val="24"/>
          <w:lang w:val="tr-TR"/>
        </w:rPr>
        <w:t xml:space="preserve"> hukukiliği, ele geçiriliş tarzı ve güvenilirliği hakkında hükümete çok sayıda ve ayrıntılı soru yöneltmiştir. Benzer nitelikteki bir kararın yakında adil yargılanma hakkının ve özel hayatın gizliliğinin ihlali açısından da çıkması kuvvetle muhtemeldir. </w:t>
      </w:r>
    </w:p>
    <w:p w:rsidR="00866BBE" w:rsidRDefault="00866BBE" w:rsidP="00866BBE">
      <w:pPr>
        <w:spacing w:before="120" w:after="120" w:line="276" w:lineRule="auto"/>
        <w:jc w:val="both"/>
        <w:rPr>
          <w:rFonts w:ascii="Palatino Linotype" w:hAnsi="Palatino Linotype"/>
          <w:sz w:val="24"/>
          <w:szCs w:val="24"/>
          <w:lang w:val="tr-TR"/>
        </w:rPr>
      </w:pPr>
      <w:r>
        <w:rPr>
          <w:rFonts w:ascii="Palatino Linotype" w:hAnsi="Palatino Linotype"/>
          <w:sz w:val="24"/>
          <w:szCs w:val="24"/>
          <w:lang w:val="tr-TR"/>
        </w:rPr>
        <w:lastRenderedPageBreak/>
        <w:t xml:space="preserve">AİHM,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klasik, kopyala yapıştır tarzındaki “</w:t>
      </w:r>
      <w:r>
        <w:rPr>
          <w:rFonts w:ascii="Palatino Linotype" w:hAnsi="Palatino Linotype"/>
          <w:i/>
          <w:sz w:val="24"/>
          <w:szCs w:val="24"/>
          <w:lang w:val="tr-TR"/>
        </w:rPr>
        <w:t xml:space="preserve">iddianamede </w:t>
      </w:r>
      <w:proofErr w:type="spellStart"/>
      <w:r>
        <w:rPr>
          <w:rFonts w:ascii="Palatino Linotype" w:hAnsi="Palatino Linotype"/>
          <w:i/>
          <w:sz w:val="24"/>
          <w:szCs w:val="24"/>
          <w:lang w:val="tr-TR"/>
        </w:rPr>
        <w:t>Bylock</w:t>
      </w:r>
      <w:proofErr w:type="spellEnd"/>
      <w:r>
        <w:rPr>
          <w:rFonts w:ascii="Palatino Linotype" w:hAnsi="Palatino Linotype"/>
          <w:i/>
          <w:sz w:val="24"/>
          <w:szCs w:val="24"/>
          <w:lang w:val="tr-TR"/>
        </w:rPr>
        <w:t xml:space="preserve"> varsa sorun yok” </w:t>
      </w:r>
      <w:r>
        <w:rPr>
          <w:rFonts w:ascii="Palatino Linotype" w:hAnsi="Palatino Linotype"/>
          <w:sz w:val="24"/>
          <w:szCs w:val="24"/>
          <w:lang w:val="tr-TR"/>
        </w:rPr>
        <w:t xml:space="preserve">yaklaşımını da eleştirmektedir. Bu da uzun vadede ve belki de yakın gelecekte, </w:t>
      </w:r>
      <w:proofErr w:type="spellStart"/>
      <w:r>
        <w:rPr>
          <w:rFonts w:ascii="Palatino Linotype" w:hAnsi="Palatino Linotype"/>
          <w:sz w:val="24"/>
          <w:szCs w:val="24"/>
          <w:lang w:val="tr-TR"/>
        </w:rPr>
        <w:t>AYM’nin</w:t>
      </w:r>
      <w:proofErr w:type="spellEnd"/>
      <w:r>
        <w:rPr>
          <w:rFonts w:ascii="Palatino Linotype" w:hAnsi="Palatino Linotype"/>
          <w:sz w:val="24"/>
          <w:szCs w:val="24"/>
          <w:lang w:val="tr-TR"/>
        </w:rPr>
        <w:t xml:space="preserve"> </w:t>
      </w:r>
      <w:proofErr w:type="spellStart"/>
      <w:r>
        <w:rPr>
          <w:rFonts w:ascii="Palatino Linotype" w:hAnsi="Palatino Linotype"/>
          <w:sz w:val="24"/>
          <w:szCs w:val="24"/>
          <w:lang w:val="tr-TR"/>
        </w:rPr>
        <w:t>Bylock</w:t>
      </w:r>
      <w:proofErr w:type="spellEnd"/>
      <w:r>
        <w:rPr>
          <w:rFonts w:ascii="Palatino Linotype" w:hAnsi="Palatino Linotype"/>
          <w:sz w:val="24"/>
          <w:szCs w:val="24"/>
          <w:lang w:val="tr-TR"/>
        </w:rPr>
        <w:t xml:space="preserve"> nedeniyle tutuklamalar açısından etkin iç hukuk yolu olmaktan çıkabileceği ihtimalini güçlendirmektedir.</w:t>
      </w:r>
    </w:p>
    <w:p w:rsidR="00866BBE" w:rsidRDefault="00866BBE" w:rsidP="00866BBE">
      <w:pPr>
        <w:pStyle w:val="NormalWeb"/>
        <w:shd w:val="clear" w:color="auto" w:fill="FFFFFF"/>
        <w:spacing w:before="120" w:beforeAutospacing="0" w:after="120" w:afterAutospacing="0" w:line="276" w:lineRule="auto"/>
        <w:jc w:val="both"/>
        <w:outlineLvl w:val="0"/>
        <w:rPr>
          <w:rFonts w:ascii="Palatino Linotype" w:hAnsi="Palatino Linotype"/>
          <w:b/>
          <w:color w:val="000000"/>
          <w:lang w:val="tr-TR"/>
        </w:rPr>
      </w:pPr>
      <w:r>
        <w:rPr>
          <w:rFonts w:ascii="Palatino Linotype" w:hAnsi="Palatino Linotype"/>
          <w:b/>
          <w:color w:val="000000"/>
          <w:lang w:val="tr-TR"/>
        </w:rPr>
        <w:t>SONUÇ</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color w:val="000000"/>
          <w:lang w:val="tr-TR"/>
        </w:rPr>
      </w:pPr>
      <w:r>
        <w:rPr>
          <w:rFonts w:ascii="Palatino Linotype" w:hAnsi="Palatino Linotype"/>
          <w:color w:val="000000"/>
          <w:lang w:val="tr-TR"/>
        </w:rPr>
        <w:t xml:space="preserve">Akgün/Türkiye kararı AİHM tarafından verilmiş güzel bir karardır. Bu karardan hareketle, </w:t>
      </w:r>
      <w:proofErr w:type="spellStart"/>
      <w:r>
        <w:rPr>
          <w:rFonts w:ascii="Palatino Linotype" w:hAnsi="Palatino Linotype"/>
          <w:color w:val="000000"/>
          <w:lang w:val="tr-TR"/>
        </w:rPr>
        <w:t>AİHM’in</w:t>
      </w:r>
      <w:proofErr w:type="spellEnd"/>
      <w:r>
        <w:rPr>
          <w:rFonts w:ascii="Palatino Linotype" w:hAnsi="Palatino Linotype"/>
          <w:color w:val="000000"/>
          <w:lang w:val="tr-TR"/>
        </w:rPr>
        <w:t xml:space="preserve"> gelecek başvurularda farklı açılımlar yapabileceği öngörülmektedir Bu bağlamında, özellikle Hükümetin </w:t>
      </w:r>
      <w:proofErr w:type="spellStart"/>
      <w:r>
        <w:rPr>
          <w:rFonts w:ascii="Palatino Linotype" w:hAnsi="Palatino Linotype"/>
          <w:color w:val="000000"/>
          <w:lang w:val="tr-TR"/>
        </w:rPr>
        <w:t>Bylock’la</w:t>
      </w:r>
      <w:proofErr w:type="spellEnd"/>
      <w:r>
        <w:rPr>
          <w:rFonts w:ascii="Palatino Linotype" w:hAnsi="Palatino Linotype"/>
          <w:color w:val="000000"/>
          <w:lang w:val="tr-TR"/>
        </w:rPr>
        <w:t xml:space="preserve"> ilgili bu başvuru kapsamında sunduğu ve AİHM tarafından alıntı yapılan hususlara cevap olacak detaylı bir bilirkişi raporu/uzman görüşü alınarak dosyalara sunulmasında fayda vardır. Bu suretle </w:t>
      </w:r>
      <w:proofErr w:type="spellStart"/>
      <w:r>
        <w:rPr>
          <w:rFonts w:ascii="Palatino Linotype" w:hAnsi="Palatino Linotype"/>
          <w:color w:val="000000"/>
          <w:lang w:val="tr-TR"/>
        </w:rPr>
        <w:t>AİHM’in</w:t>
      </w:r>
      <w:proofErr w:type="spellEnd"/>
      <w:r>
        <w:rPr>
          <w:rFonts w:ascii="Palatino Linotype" w:hAnsi="Palatino Linotype"/>
          <w:color w:val="000000"/>
          <w:lang w:val="tr-TR"/>
        </w:rPr>
        <w:t xml:space="preserve"> aleyhe açılım yapmasının önü alınmış olacaktır. </w:t>
      </w: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b/>
          <w:color w:val="000000"/>
          <w:lang w:val="tr-TR"/>
        </w:rPr>
      </w:pPr>
    </w:p>
    <w:p w:rsidR="00866BBE" w:rsidRDefault="00866BBE" w:rsidP="00866BBE">
      <w:pPr>
        <w:pStyle w:val="NormalWeb"/>
        <w:shd w:val="clear" w:color="auto" w:fill="FFFFFF"/>
        <w:spacing w:before="120" w:beforeAutospacing="0" w:after="120" w:afterAutospacing="0" w:line="276" w:lineRule="auto"/>
        <w:jc w:val="both"/>
        <w:rPr>
          <w:rFonts w:ascii="Palatino Linotype" w:hAnsi="Palatino Linotype"/>
          <w:b/>
          <w:lang w:val="tr-TR"/>
        </w:rPr>
      </w:pPr>
      <w:r>
        <w:rPr>
          <w:rFonts w:ascii="Palatino Linotype" w:hAnsi="Palatino Linotype"/>
          <w:b/>
          <w:color w:val="000000"/>
          <w:lang w:val="tr-TR"/>
        </w:rPr>
        <w:t>KAYNAK:</w:t>
      </w:r>
      <w:r>
        <w:rPr>
          <w:rFonts w:ascii="Palatino Linotype" w:hAnsi="Palatino Linotype"/>
          <w:color w:val="000000"/>
          <w:lang w:val="tr-TR"/>
        </w:rPr>
        <w:t xml:space="preserve"> </w:t>
      </w:r>
      <w:hyperlink r:id="rId4" w:history="1">
        <w:r>
          <w:rPr>
            <w:rStyle w:val="Kpr"/>
            <w:rFonts w:ascii="Palatino Linotype" w:hAnsi="Palatino Linotype"/>
            <w:lang w:val="tr-TR"/>
          </w:rPr>
          <w:t>https://www.drgokhangunes.com/makale/aihmin-akgun-turkiye-kararinin-degerlendirilmesi/</w:t>
        </w:r>
      </w:hyperlink>
      <w:r>
        <w:rPr>
          <w:rFonts w:ascii="Palatino Linotype" w:hAnsi="Palatino Linotype"/>
          <w:color w:val="000000"/>
          <w:lang w:val="tr-TR"/>
        </w:rPr>
        <w:t xml:space="preserve">  (Erişim Tarihi:</w:t>
      </w:r>
      <w:proofErr w:type="gramStart"/>
      <w:r>
        <w:rPr>
          <w:rFonts w:ascii="Palatino Linotype" w:hAnsi="Palatino Linotype"/>
          <w:color w:val="000000"/>
          <w:lang w:val="tr-TR"/>
        </w:rPr>
        <w:t>21/7/2021</w:t>
      </w:r>
      <w:proofErr w:type="gramEnd"/>
      <w:r>
        <w:rPr>
          <w:rFonts w:ascii="Palatino Linotype" w:hAnsi="Palatino Linotype"/>
          <w:color w:val="000000"/>
          <w:lang w:val="tr-TR"/>
        </w:rPr>
        <w:t>)</w:t>
      </w:r>
    </w:p>
    <w:p w:rsidR="00866BBE" w:rsidRDefault="00866BBE" w:rsidP="00866BBE">
      <w:pPr>
        <w:spacing w:before="120" w:after="120" w:line="276" w:lineRule="auto"/>
        <w:jc w:val="both"/>
        <w:rPr>
          <w:rFonts w:ascii="Palatino Linotype" w:hAnsi="Palatino Linotype"/>
          <w:b/>
          <w:sz w:val="24"/>
          <w:szCs w:val="24"/>
          <w:lang w:val="tr-TR"/>
        </w:rPr>
      </w:pPr>
    </w:p>
    <w:p w:rsidR="003D7D34" w:rsidRDefault="00866BBE"/>
    <w:sectPr w:rsidR="003D7D34" w:rsidSect="006B0CD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866BBE"/>
    <w:rsid w:val="006B0CDA"/>
    <w:rsid w:val="00866BBE"/>
    <w:rsid w:val="00C362BD"/>
    <w:rsid w:val="00EA1A7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BBE"/>
    <w:pPr>
      <w:spacing w:after="160" w:line="25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66BBE"/>
    <w:rPr>
      <w:color w:val="0000FF" w:themeColor="hyperlink"/>
      <w:u w:val="single"/>
    </w:rPr>
  </w:style>
  <w:style w:type="paragraph" w:styleId="NormalWeb">
    <w:name w:val="Normal (Web)"/>
    <w:basedOn w:val="Normal"/>
    <w:uiPriority w:val="99"/>
    <w:semiHidden/>
    <w:unhideWhenUsed/>
    <w:rsid w:val="00866B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07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gokhangunes.com/makale/aihmin-akgun-turkiye-kararinin-degerlendirilme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3261</Words>
  <Characters>20546</Characters>
  <Application>Microsoft Office Word</Application>
  <DocSecurity>0</DocSecurity>
  <Lines>171</Lines>
  <Paragraphs>47</Paragraphs>
  <ScaleCrop>false</ScaleCrop>
  <Company/>
  <LinksUpToDate>false</LinksUpToDate>
  <CharactersWithSpaces>23760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2021-07-26T19:07:00Z</dcterms:created>
  <dcterms:modified xsi:type="dcterms:W3CDTF">2021-07-26T19:07:00Z</dcterms:modified>
</cp:coreProperties>
</file>