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A11" w:rsidRDefault="004B3A11" w:rsidP="004B3A11">
      <w:pPr>
        <w:spacing w:before="120" w:after="120" w:line="276" w:lineRule="auto"/>
        <w:jc w:val="center"/>
        <w:rPr>
          <w:rFonts w:ascii="Palatino Linotype" w:hAnsi="Palatino Linotype" w:cs="Tahoma"/>
          <w:b/>
          <w:sz w:val="24"/>
          <w:szCs w:val="24"/>
        </w:rPr>
      </w:pPr>
      <w:r>
        <w:rPr>
          <w:rFonts w:ascii="Palatino Linotype" w:hAnsi="Palatino Linotype" w:cs="Tahoma"/>
          <w:b/>
          <w:sz w:val="24"/>
          <w:szCs w:val="24"/>
          <w:highlight w:val="yellow"/>
        </w:rPr>
        <w:t>…C.BAŞSAVCILIĞINA/…BÖLGE ADLİYE MAHKEMESİ …DAİRESİNE /YARGITAY  …CEZA DAİRESİNE</w:t>
      </w:r>
    </w:p>
    <w:p w:rsidR="004B3A11" w:rsidRDefault="004B3A11" w:rsidP="004B3A11">
      <w:pPr>
        <w:spacing w:before="120" w:after="120" w:line="276" w:lineRule="auto"/>
        <w:jc w:val="center"/>
        <w:rPr>
          <w:rFonts w:ascii="Palatino Linotype" w:hAnsi="Palatino Linotype" w:cs="Tahoma"/>
          <w:sz w:val="24"/>
          <w:szCs w:val="24"/>
        </w:rPr>
      </w:pPr>
      <w:r>
        <w:rPr>
          <w:rFonts w:ascii="Palatino Linotype" w:hAnsi="Palatino Linotype" w:cs="Tahoma"/>
          <w:sz w:val="24"/>
          <w:szCs w:val="24"/>
        </w:rPr>
        <w:t>(Sunulmak Üzere)</w:t>
      </w:r>
    </w:p>
    <w:p w:rsidR="004B3A11" w:rsidRDefault="004B3A11" w:rsidP="004B3A11">
      <w:pPr>
        <w:spacing w:before="120" w:after="120" w:line="276" w:lineRule="auto"/>
        <w:jc w:val="center"/>
        <w:rPr>
          <w:rFonts w:ascii="Palatino Linotype" w:hAnsi="Palatino Linotype" w:cs="Tahoma"/>
          <w:b/>
          <w:sz w:val="24"/>
          <w:szCs w:val="24"/>
        </w:rPr>
      </w:pPr>
      <w:r>
        <w:rPr>
          <w:rFonts w:ascii="Palatino Linotype" w:hAnsi="Palatino Linotype" w:cs="Tahoma"/>
          <w:b/>
          <w:sz w:val="24"/>
          <w:szCs w:val="24"/>
        </w:rPr>
        <w:t>……. AĞIR CEZA MAHKEMESİNE</w:t>
      </w:r>
    </w:p>
    <w:p w:rsidR="004B3A11" w:rsidRDefault="004B3A11" w:rsidP="004B3A11">
      <w:pPr>
        <w:spacing w:before="120" w:after="120" w:line="276" w:lineRule="auto"/>
        <w:jc w:val="both"/>
        <w:rPr>
          <w:rFonts w:ascii="Palatino Linotype" w:hAnsi="Palatino Linotype" w:cs="Tahoma"/>
          <w:b/>
          <w:sz w:val="24"/>
          <w:szCs w:val="24"/>
        </w:rPr>
      </w:pPr>
    </w:p>
    <w:p w:rsidR="004B3A11" w:rsidRDefault="004B3A11" w:rsidP="004B3A11">
      <w:pPr>
        <w:spacing w:before="120" w:after="120" w:line="276" w:lineRule="auto"/>
        <w:jc w:val="both"/>
        <w:rPr>
          <w:rFonts w:ascii="Palatino Linotype" w:hAnsi="Palatino Linotype" w:cs="Tahoma"/>
          <w:b/>
          <w:sz w:val="24"/>
          <w:szCs w:val="24"/>
          <w:u w:val="single"/>
        </w:rPr>
      </w:pPr>
      <w:r>
        <w:rPr>
          <w:rFonts w:ascii="Palatino Linotype" w:hAnsi="Palatino Linotype" w:cs="Tahoma"/>
          <w:b/>
          <w:sz w:val="24"/>
          <w:szCs w:val="24"/>
          <w:u w:val="single"/>
        </w:rPr>
        <w:t>DOSYA BİLGİLERİ:</w:t>
      </w:r>
    </w:p>
    <w:p w:rsidR="004B3A11" w:rsidRDefault="004B3A11" w:rsidP="004B3A11">
      <w:pPr>
        <w:spacing w:before="120" w:after="120" w:line="276" w:lineRule="auto"/>
        <w:jc w:val="both"/>
        <w:rPr>
          <w:rFonts w:ascii="Palatino Linotype" w:hAnsi="Palatino Linotype" w:cs="Tahoma"/>
          <w:b/>
          <w:sz w:val="24"/>
          <w:szCs w:val="24"/>
          <w:highlight w:val="yellow"/>
        </w:rPr>
      </w:pPr>
      <w:r>
        <w:rPr>
          <w:rFonts w:ascii="Palatino Linotype" w:hAnsi="Palatino Linotype" w:cs="Tahoma"/>
          <w:b/>
          <w:sz w:val="24"/>
          <w:szCs w:val="24"/>
          <w:highlight w:val="yellow"/>
        </w:rPr>
        <w:t>….Cumhuriyet Başsavcılığı</w:t>
      </w:r>
      <w:r>
        <w:rPr>
          <w:rFonts w:ascii="Palatino Linotype" w:hAnsi="Palatino Linotype" w:cs="Tahoma"/>
          <w:b/>
          <w:sz w:val="24"/>
          <w:szCs w:val="24"/>
          <w:highlight w:val="yellow"/>
        </w:rPr>
        <w:tab/>
        <w:t xml:space="preserve">:…./…  nolu soruşturma </w:t>
      </w:r>
    </w:p>
    <w:p w:rsidR="004B3A11" w:rsidRDefault="004B3A11" w:rsidP="004B3A11">
      <w:pPr>
        <w:spacing w:before="120" w:after="120" w:line="276" w:lineRule="auto"/>
        <w:jc w:val="both"/>
        <w:rPr>
          <w:rFonts w:ascii="Palatino Linotype" w:hAnsi="Palatino Linotype" w:cs="Tahoma"/>
          <w:b/>
          <w:sz w:val="24"/>
          <w:szCs w:val="24"/>
          <w:highlight w:val="yellow"/>
        </w:rPr>
      </w:pPr>
      <w:r>
        <w:rPr>
          <w:rFonts w:ascii="Palatino Linotype" w:hAnsi="Palatino Linotype" w:cs="Tahoma"/>
          <w:b/>
          <w:sz w:val="24"/>
          <w:szCs w:val="24"/>
          <w:highlight w:val="yellow"/>
        </w:rPr>
        <w:t>…Ağır Ceza Mahkemesi</w:t>
      </w:r>
      <w:r>
        <w:rPr>
          <w:rFonts w:ascii="Palatino Linotype" w:hAnsi="Palatino Linotype" w:cs="Tahoma"/>
          <w:b/>
          <w:sz w:val="24"/>
          <w:szCs w:val="24"/>
          <w:highlight w:val="yellow"/>
        </w:rPr>
        <w:tab/>
      </w:r>
      <w:r>
        <w:rPr>
          <w:rFonts w:ascii="Palatino Linotype" w:hAnsi="Palatino Linotype" w:cs="Tahoma"/>
          <w:b/>
          <w:sz w:val="24"/>
          <w:szCs w:val="24"/>
          <w:highlight w:val="yellow"/>
        </w:rPr>
        <w:tab/>
        <w:t xml:space="preserve">: ……/….. E. - ……./……K. </w:t>
      </w:r>
    </w:p>
    <w:p w:rsidR="004B3A11" w:rsidRDefault="004B3A11" w:rsidP="004B3A11">
      <w:pPr>
        <w:spacing w:before="120" w:after="120" w:line="276" w:lineRule="auto"/>
        <w:jc w:val="both"/>
        <w:rPr>
          <w:rFonts w:ascii="Palatino Linotype" w:hAnsi="Palatino Linotype" w:cs="Tahoma"/>
          <w:b/>
          <w:sz w:val="24"/>
          <w:szCs w:val="24"/>
          <w:highlight w:val="yellow"/>
        </w:rPr>
      </w:pPr>
      <w:r>
        <w:rPr>
          <w:rFonts w:ascii="Palatino Linotype" w:hAnsi="Palatino Linotype" w:cs="Tahoma"/>
          <w:b/>
          <w:sz w:val="24"/>
          <w:szCs w:val="24"/>
          <w:highlight w:val="yellow"/>
        </w:rPr>
        <w:t>…Bölge Adliye Mahkemesi</w:t>
      </w:r>
      <w:r>
        <w:rPr>
          <w:rFonts w:ascii="Palatino Linotype" w:hAnsi="Palatino Linotype" w:cs="Tahoma"/>
          <w:b/>
          <w:sz w:val="24"/>
          <w:szCs w:val="24"/>
          <w:highlight w:val="yellow"/>
        </w:rPr>
        <w:tab/>
        <w:t xml:space="preserve">: ……/….. E. - ……./……K. </w:t>
      </w:r>
    </w:p>
    <w:p w:rsidR="004B3A11" w:rsidRDefault="004B3A11" w:rsidP="004B3A11">
      <w:pPr>
        <w:spacing w:before="120" w:after="120" w:line="276" w:lineRule="auto"/>
        <w:jc w:val="both"/>
        <w:rPr>
          <w:rFonts w:ascii="Palatino Linotype" w:hAnsi="Palatino Linotype" w:cs="Tahoma"/>
          <w:b/>
          <w:sz w:val="24"/>
          <w:szCs w:val="24"/>
        </w:rPr>
      </w:pPr>
      <w:r>
        <w:rPr>
          <w:rFonts w:ascii="Palatino Linotype" w:hAnsi="Palatino Linotype" w:cs="Tahoma"/>
          <w:b/>
          <w:sz w:val="24"/>
          <w:szCs w:val="24"/>
          <w:highlight w:val="yellow"/>
        </w:rPr>
        <w:t>Yargıtay …Ceza Dairesi</w:t>
      </w:r>
      <w:r>
        <w:rPr>
          <w:rFonts w:ascii="Palatino Linotype" w:hAnsi="Palatino Linotype" w:cs="Tahoma"/>
          <w:b/>
          <w:sz w:val="24"/>
          <w:szCs w:val="24"/>
          <w:highlight w:val="yellow"/>
        </w:rPr>
        <w:tab/>
      </w:r>
      <w:r>
        <w:rPr>
          <w:rFonts w:ascii="Palatino Linotype" w:hAnsi="Palatino Linotype" w:cs="Tahoma"/>
          <w:b/>
          <w:sz w:val="24"/>
          <w:szCs w:val="24"/>
          <w:highlight w:val="yellow"/>
        </w:rPr>
        <w:tab/>
        <w:t>: …../….. Esas</w:t>
      </w:r>
    </w:p>
    <w:p w:rsidR="004B3A11" w:rsidRDefault="004B3A11" w:rsidP="004B3A11">
      <w:pPr>
        <w:spacing w:before="120" w:after="120" w:line="276" w:lineRule="auto"/>
        <w:jc w:val="both"/>
        <w:rPr>
          <w:rFonts w:ascii="Palatino Linotype" w:hAnsi="Palatino Linotype" w:cs="Tahoma"/>
          <w:b/>
          <w:sz w:val="24"/>
          <w:szCs w:val="24"/>
        </w:rPr>
      </w:pPr>
    </w:p>
    <w:p w:rsidR="004B3A11" w:rsidRDefault="004B3A11" w:rsidP="004B3A11">
      <w:pPr>
        <w:spacing w:before="120" w:after="120" w:line="276" w:lineRule="auto"/>
        <w:jc w:val="both"/>
        <w:rPr>
          <w:rFonts w:ascii="Palatino Linotype" w:hAnsi="Palatino Linotype" w:cs="Tahoma"/>
          <w:sz w:val="24"/>
          <w:szCs w:val="24"/>
        </w:rPr>
      </w:pPr>
      <w:r>
        <w:rPr>
          <w:rFonts w:ascii="Palatino Linotype" w:hAnsi="Palatino Linotype" w:cs="Tahoma"/>
          <w:b/>
          <w:sz w:val="24"/>
          <w:szCs w:val="24"/>
        </w:rPr>
        <w:t>KONU:</w:t>
      </w:r>
      <w:r>
        <w:rPr>
          <w:rFonts w:ascii="Palatino Linotype" w:hAnsi="Palatino Linotype" w:cs="Tahoma"/>
          <w:sz w:val="24"/>
          <w:szCs w:val="24"/>
        </w:rPr>
        <w:t xml:space="preserve"> AİHM’in Akgün/Türkiye kararında ulaştığı tespit ve değerlendirmelerin, maddi olgu ve olayların benzerliği yönüyle halen derdest olan dosyam hakkında da tatbikinin istenilmesi. </w:t>
      </w:r>
    </w:p>
    <w:p w:rsidR="004B3A11" w:rsidRDefault="004B3A11" w:rsidP="004B3A11">
      <w:pPr>
        <w:spacing w:before="120" w:after="120" w:line="276" w:lineRule="auto"/>
        <w:jc w:val="both"/>
        <w:rPr>
          <w:rFonts w:ascii="Palatino Linotype" w:hAnsi="Palatino Linotype" w:cs="Tahoma"/>
          <w:b/>
          <w:sz w:val="24"/>
          <w:szCs w:val="24"/>
        </w:rPr>
      </w:pPr>
    </w:p>
    <w:p w:rsidR="004B3A11" w:rsidRDefault="004B3A11" w:rsidP="004B3A11">
      <w:pPr>
        <w:spacing w:before="120" w:after="120" w:line="276" w:lineRule="auto"/>
        <w:jc w:val="center"/>
        <w:rPr>
          <w:rFonts w:ascii="Palatino Linotype" w:hAnsi="Palatino Linotype" w:cs="Tahoma"/>
          <w:b/>
          <w:sz w:val="24"/>
          <w:szCs w:val="24"/>
        </w:rPr>
      </w:pPr>
      <w:r>
        <w:rPr>
          <w:rFonts w:ascii="Palatino Linotype" w:hAnsi="Palatino Linotype" w:cs="Tahoma"/>
          <w:b/>
          <w:sz w:val="24"/>
          <w:szCs w:val="24"/>
        </w:rPr>
        <w:t>AÇIKLAMALAR</w:t>
      </w:r>
    </w:p>
    <w:p w:rsidR="004B3A11" w:rsidRDefault="004B3A11" w:rsidP="004B3A11">
      <w:pPr>
        <w:spacing w:before="120" w:after="120" w:line="276" w:lineRule="auto"/>
        <w:jc w:val="both"/>
        <w:rPr>
          <w:rFonts w:ascii="Palatino Linotype" w:hAnsi="Palatino Linotype" w:cs="Tahoma"/>
          <w:sz w:val="24"/>
          <w:szCs w:val="24"/>
        </w:rPr>
      </w:pPr>
      <w:r>
        <w:rPr>
          <w:rFonts w:ascii="Palatino Linotype" w:hAnsi="Palatino Linotype" w:cs="Tahoma"/>
          <w:sz w:val="24"/>
          <w:szCs w:val="24"/>
        </w:rPr>
        <w:t>Avrupa İnsan Hakları Mahkemesi (AİHM), sadece Bylock kullanma iddiasına dayanarak gerçekleştirilen bir tutuklama işleminin hukuka aykırı olduğuna ilişkin Akgün/Türkiye başvurusunu 20 Temmuz 2021 tarihinde karara bağlamıştır.</w:t>
      </w:r>
      <w:r>
        <w:rPr>
          <w:rStyle w:val="DipnotBavurusu"/>
          <w:rFonts w:ascii="Palatino Linotype" w:hAnsi="Palatino Linotype" w:cs="Tahoma"/>
          <w:sz w:val="24"/>
          <w:szCs w:val="24"/>
        </w:rPr>
        <w:footnoteReference w:id="2"/>
      </w:r>
    </w:p>
    <w:p w:rsidR="004B3A11" w:rsidRDefault="004B3A11" w:rsidP="004B3A11">
      <w:pPr>
        <w:spacing w:before="120" w:after="120" w:line="276" w:lineRule="auto"/>
        <w:jc w:val="both"/>
        <w:rPr>
          <w:rFonts w:ascii="Palatino Linotype" w:hAnsi="Palatino Linotype" w:cs="Tahoma"/>
          <w:sz w:val="24"/>
          <w:szCs w:val="24"/>
        </w:rPr>
      </w:pPr>
      <w:r>
        <w:rPr>
          <w:rFonts w:ascii="Palatino Linotype" w:hAnsi="Palatino Linotype" w:cs="Tahoma"/>
          <w:sz w:val="24"/>
          <w:szCs w:val="24"/>
        </w:rPr>
        <w:t>AİHM bu</w:t>
      </w:r>
      <w:r>
        <w:rPr>
          <w:rFonts w:ascii="Palatino Linotype" w:hAnsi="Palatino Linotype" w:cs="Tahoma"/>
          <w:i/>
          <w:sz w:val="24"/>
          <w:szCs w:val="24"/>
        </w:rPr>
        <w:t xml:space="preserve"> </w:t>
      </w:r>
      <w:r>
        <w:rPr>
          <w:rFonts w:ascii="Palatino Linotype" w:hAnsi="Palatino Linotype" w:cs="Tahoma"/>
          <w:sz w:val="24"/>
          <w:szCs w:val="24"/>
        </w:rPr>
        <w:t xml:space="preserve">kararında özetle; yan delillerle desteklenmedikçe tek başına Bylock kullanımının tutuklama için gerekçe olamayacağına hükmederek, Avrupa İnsan Hakları Sözleşmesi’nin (AİHS) 5/1, 5/3 ve 5/4 maddelerinin ihlaline karar vermiştir. Anılan karardaki tespitlerin tamamı halen </w:t>
      </w:r>
      <w:r>
        <w:rPr>
          <w:rFonts w:ascii="Palatino Linotype" w:hAnsi="Palatino Linotype" w:cs="Tahoma"/>
          <w:sz w:val="24"/>
          <w:szCs w:val="24"/>
          <w:highlight w:val="yellow"/>
        </w:rPr>
        <w:t>soruşturması devam eden/yargılaması devam eden/kanun yolu incelemesinde olan</w:t>
      </w:r>
      <w:r>
        <w:rPr>
          <w:rFonts w:ascii="Palatino Linotype" w:hAnsi="Palatino Linotype" w:cs="Tahoma"/>
          <w:sz w:val="24"/>
          <w:szCs w:val="24"/>
        </w:rPr>
        <w:t xml:space="preserve"> dosyam için de geçerlidir. </w:t>
      </w:r>
    </w:p>
    <w:p w:rsidR="004B3A11" w:rsidRDefault="004B3A11" w:rsidP="004B3A11">
      <w:pPr>
        <w:spacing w:before="120" w:after="120" w:line="276" w:lineRule="auto"/>
        <w:jc w:val="both"/>
        <w:rPr>
          <w:rFonts w:ascii="Palatino Linotype" w:hAnsi="Palatino Linotype" w:cs="Tahoma"/>
          <w:sz w:val="24"/>
          <w:szCs w:val="24"/>
        </w:rPr>
      </w:pPr>
      <w:r>
        <w:rPr>
          <w:rFonts w:ascii="Palatino Linotype" w:hAnsi="Palatino Linotype" w:cs="Tahoma"/>
          <w:sz w:val="24"/>
          <w:szCs w:val="24"/>
        </w:rPr>
        <w:t>Bu itibarla söz konusu tespitlerin dosyamın incelenmesi sırasında değerlendirmeye alınması talebiyle dilekçemle birlikte,</w:t>
      </w:r>
      <w:r>
        <w:rPr>
          <w:rFonts w:ascii="Palatino Linotype" w:hAnsi="Palatino Linotype" w:cs="Tahoma"/>
          <w:i/>
          <w:sz w:val="24"/>
          <w:szCs w:val="24"/>
        </w:rPr>
        <w:t xml:space="preserve"> </w:t>
      </w:r>
      <w:r>
        <w:rPr>
          <w:rFonts w:ascii="Palatino Linotype" w:hAnsi="Palatino Linotype" w:cs="Tahoma"/>
          <w:sz w:val="24"/>
          <w:szCs w:val="24"/>
        </w:rPr>
        <w:t>Akgün/Türkiye kararına ilişkin AİHM basın bildirisini (Türkçe)</w:t>
      </w:r>
      <w:r>
        <w:rPr>
          <w:rStyle w:val="DipnotBavurusu"/>
          <w:rFonts w:ascii="Palatino Linotype" w:hAnsi="Palatino Linotype" w:cs="Tahoma"/>
          <w:sz w:val="24"/>
          <w:szCs w:val="24"/>
        </w:rPr>
        <w:footnoteReference w:id="3"/>
      </w:r>
      <w:r>
        <w:rPr>
          <w:rFonts w:ascii="Palatino Linotype" w:hAnsi="Palatino Linotype" w:cs="Tahoma"/>
          <w:sz w:val="24"/>
          <w:szCs w:val="24"/>
        </w:rPr>
        <w:t xml:space="preserve"> ve konuyla ilgili bir makaleyi</w:t>
      </w:r>
      <w:r>
        <w:rPr>
          <w:rStyle w:val="DipnotBavurusu"/>
          <w:rFonts w:ascii="Palatino Linotype" w:hAnsi="Palatino Linotype" w:cs="Tahoma"/>
          <w:sz w:val="24"/>
          <w:szCs w:val="24"/>
        </w:rPr>
        <w:footnoteReference w:id="4"/>
      </w:r>
      <w:r>
        <w:rPr>
          <w:rFonts w:ascii="Palatino Linotype" w:hAnsi="Palatino Linotype" w:cs="Tahoma"/>
          <w:sz w:val="24"/>
          <w:szCs w:val="24"/>
        </w:rPr>
        <w:t xml:space="preserve"> dosyaya sunmaktayım.  </w:t>
      </w:r>
    </w:p>
    <w:p w:rsidR="004B3A11" w:rsidRDefault="004B3A11" w:rsidP="004B3A11">
      <w:pPr>
        <w:spacing w:before="120" w:after="120" w:line="276" w:lineRule="auto"/>
        <w:jc w:val="both"/>
        <w:rPr>
          <w:rFonts w:ascii="Palatino Linotype" w:hAnsi="Palatino Linotype" w:cs="Tahoma"/>
          <w:b/>
          <w:sz w:val="24"/>
          <w:szCs w:val="24"/>
        </w:rPr>
      </w:pPr>
      <w:r>
        <w:rPr>
          <w:rFonts w:ascii="Palatino Linotype" w:hAnsi="Palatino Linotype" w:cs="Tahoma"/>
          <w:b/>
          <w:sz w:val="24"/>
          <w:szCs w:val="24"/>
        </w:rPr>
        <w:t xml:space="preserve">I. BAŞVURUYU KONU OLAYLAR </w:t>
      </w:r>
    </w:p>
    <w:p w:rsidR="004B3A11" w:rsidRDefault="004B3A11" w:rsidP="004B3A11">
      <w:pPr>
        <w:spacing w:before="120" w:after="120" w:line="276" w:lineRule="auto"/>
        <w:jc w:val="both"/>
        <w:rPr>
          <w:rFonts w:ascii="Palatino Linotype" w:hAnsi="Palatino Linotype" w:cs="Tahoma"/>
          <w:sz w:val="24"/>
          <w:szCs w:val="24"/>
        </w:rPr>
      </w:pPr>
      <w:r>
        <w:rPr>
          <w:rFonts w:ascii="Palatino Linotype" w:hAnsi="Palatino Linotype" w:cs="Tahoma"/>
          <w:sz w:val="24"/>
          <w:szCs w:val="24"/>
        </w:rPr>
        <w:lastRenderedPageBreak/>
        <w:t xml:space="preserve">Başvurucu, KHK ile görevinden ihraç edilmiş bir polis memurudur. Hakkında açılan adli soruşturmada, Bylock isimli mesajlaşma programını mobil telefonunda kullandığı ileri sürülmüştür. Bilgi Teknolojileri Kurumu (BTK) tarafından gönderilen yazıda ID numarası ve Bylock sunucusu (server) ile bağlantı yapıldığına ilişkin tespitler yer almıştır. </w:t>
      </w:r>
    </w:p>
    <w:p w:rsidR="004B3A11" w:rsidRDefault="004B3A11" w:rsidP="004B3A11">
      <w:pPr>
        <w:spacing w:before="120" w:after="120" w:line="276" w:lineRule="auto"/>
        <w:jc w:val="both"/>
        <w:rPr>
          <w:rFonts w:ascii="Palatino Linotype" w:hAnsi="Palatino Linotype" w:cs="Tahoma"/>
          <w:sz w:val="24"/>
          <w:szCs w:val="24"/>
        </w:rPr>
      </w:pPr>
      <w:r>
        <w:rPr>
          <w:rFonts w:ascii="Palatino Linotype" w:hAnsi="Palatino Linotype" w:cs="Tahoma"/>
          <w:sz w:val="24"/>
          <w:szCs w:val="24"/>
        </w:rPr>
        <w:t xml:space="preserve">Başvurucu, tek başına bu delil ileri sürülerek tutuklanmış ve yaklaşık 15 ay tutuklu kalmıştır. </w:t>
      </w:r>
    </w:p>
    <w:p w:rsidR="004B3A11" w:rsidRDefault="004B3A11" w:rsidP="004B3A11">
      <w:pPr>
        <w:spacing w:before="120" w:after="120" w:line="276" w:lineRule="auto"/>
        <w:jc w:val="both"/>
        <w:rPr>
          <w:rFonts w:ascii="Palatino Linotype" w:hAnsi="Palatino Linotype" w:cs="Tahoma"/>
          <w:sz w:val="24"/>
          <w:szCs w:val="24"/>
        </w:rPr>
      </w:pPr>
      <w:r>
        <w:rPr>
          <w:rFonts w:ascii="Palatino Linotype" w:hAnsi="Palatino Linotype" w:cs="Tahoma"/>
          <w:sz w:val="24"/>
          <w:szCs w:val="24"/>
        </w:rPr>
        <w:t>Başvurucunun tutukluluğunun hukuk dışı (</w:t>
      </w:r>
      <w:r>
        <w:rPr>
          <w:rFonts w:ascii="Palatino Linotype" w:hAnsi="Palatino Linotype" w:cs="Tahoma"/>
          <w:i/>
          <w:sz w:val="24"/>
          <w:szCs w:val="24"/>
        </w:rPr>
        <w:t>unlawful detention</w:t>
      </w:r>
      <w:r>
        <w:rPr>
          <w:rFonts w:ascii="Palatino Linotype" w:hAnsi="Palatino Linotype" w:cs="Tahoma"/>
          <w:sz w:val="24"/>
          <w:szCs w:val="24"/>
        </w:rPr>
        <w:t>) olduğu gerekçesiyle Anayasa Mahkemesine (AYM) yaptığı başvuru olumsuz sonuçlanmıştır.</w:t>
      </w:r>
    </w:p>
    <w:p w:rsidR="004B3A11" w:rsidRDefault="004B3A11" w:rsidP="004B3A11">
      <w:pPr>
        <w:spacing w:before="120" w:after="120" w:line="276" w:lineRule="auto"/>
        <w:jc w:val="both"/>
        <w:rPr>
          <w:rFonts w:ascii="Palatino Linotype" w:hAnsi="Palatino Linotype" w:cs="Tahoma"/>
          <w:sz w:val="24"/>
          <w:szCs w:val="24"/>
        </w:rPr>
      </w:pPr>
      <w:r>
        <w:rPr>
          <w:rFonts w:ascii="Palatino Linotype" w:hAnsi="Palatino Linotype" w:cs="Tahoma"/>
          <w:sz w:val="24"/>
          <w:szCs w:val="24"/>
        </w:rPr>
        <w:t xml:space="preserve">Nihayet AİHM önüne götürülen şikâyette AİHM, başvurucuyu haklı bularak anılan tutukluluğun Sözleşmede öngörülen güvencelere aykırı olduğuna kanaat getirerek haksız tutukluluk nedeniyle Türkiye’yi tazminat ödemeye mahkûm etmiştir. </w:t>
      </w:r>
    </w:p>
    <w:p w:rsidR="004B3A11" w:rsidRDefault="004B3A11" w:rsidP="004B3A11">
      <w:pPr>
        <w:spacing w:before="120" w:after="120" w:line="276" w:lineRule="auto"/>
        <w:jc w:val="both"/>
        <w:rPr>
          <w:rFonts w:ascii="Palatino Linotype" w:hAnsi="Palatino Linotype" w:cs="Tahoma"/>
          <w:b/>
          <w:sz w:val="24"/>
          <w:szCs w:val="24"/>
        </w:rPr>
      </w:pPr>
      <w:r>
        <w:rPr>
          <w:rFonts w:ascii="Palatino Linotype" w:hAnsi="Palatino Linotype" w:cs="Tahoma"/>
          <w:b/>
          <w:sz w:val="24"/>
          <w:szCs w:val="24"/>
        </w:rPr>
        <w:t>II.</w:t>
      </w:r>
      <w:r>
        <w:rPr>
          <w:rFonts w:ascii="Palatino Linotype" w:hAnsi="Palatino Linotype" w:cs="Tahoma"/>
          <w:sz w:val="24"/>
          <w:szCs w:val="24"/>
        </w:rPr>
        <w:t xml:space="preserve"> </w:t>
      </w:r>
      <w:r>
        <w:rPr>
          <w:rFonts w:ascii="Palatino Linotype" w:hAnsi="Palatino Linotype" w:cs="Tahoma"/>
          <w:b/>
          <w:sz w:val="24"/>
          <w:szCs w:val="24"/>
        </w:rPr>
        <w:t>AKGÜN/TÜRKİYE KARARININ DEĞERLENDİRİLMESİ</w:t>
      </w:r>
    </w:p>
    <w:p w:rsidR="004B3A11" w:rsidRDefault="004B3A11" w:rsidP="004B3A11">
      <w:pPr>
        <w:spacing w:before="120" w:after="120" w:line="276" w:lineRule="auto"/>
        <w:jc w:val="both"/>
        <w:rPr>
          <w:rFonts w:ascii="Palatino Linotype" w:hAnsi="Palatino Linotype" w:cs="Tahoma"/>
          <w:sz w:val="24"/>
          <w:szCs w:val="24"/>
        </w:rPr>
      </w:pPr>
      <w:r>
        <w:rPr>
          <w:rFonts w:ascii="Palatino Linotype" w:hAnsi="Palatino Linotype" w:cs="Tahoma"/>
          <w:sz w:val="24"/>
          <w:szCs w:val="24"/>
        </w:rPr>
        <w:t>AİHM’in konuyla ilgili değerlendirmesine kısaca değinmek gerekirse;</w:t>
      </w:r>
    </w:p>
    <w:p w:rsidR="004B3A11" w:rsidRDefault="004B3A11" w:rsidP="004B3A11">
      <w:pPr>
        <w:pStyle w:val="NormalWeb"/>
        <w:shd w:val="clear" w:color="auto" w:fill="FFFFFF"/>
        <w:spacing w:before="120" w:beforeAutospacing="0" w:after="120" w:afterAutospacing="0" w:line="276" w:lineRule="auto"/>
        <w:jc w:val="both"/>
        <w:rPr>
          <w:rFonts w:ascii="Palatino Linotype" w:hAnsi="Palatino Linotype" w:cs="Tahoma"/>
        </w:rPr>
      </w:pPr>
      <w:r>
        <w:rPr>
          <w:rFonts w:ascii="Palatino Linotype" w:hAnsi="Palatino Linotype" w:cs="Tahoma"/>
        </w:rPr>
        <w:t>AİHM, tutuklama anında makul şüphe ortaya koyan verilerin olup olmadığına ilişkin incelemesini üç aşamada yapmış ve şu sorulara aşağıdaki cevapları vermiştir:</w:t>
      </w:r>
    </w:p>
    <w:p w:rsidR="004B3A11" w:rsidRDefault="004B3A11" w:rsidP="004B3A11">
      <w:pPr>
        <w:pStyle w:val="NormalWeb"/>
        <w:shd w:val="clear" w:color="auto" w:fill="FFFFFF"/>
        <w:spacing w:before="120" w:beforeAutospacing="0" w:after="120" w:afterAutospacing="0" w:line="276" w:lineRule="auto"/>
        <w:jc w:val="both"/>
        <w:rPr>
          <w:rFonts w:ascii="Palatino Linotype" w:hAnsi="Palatino Linotype" w:cs="Tahoma"/>
        </w:rPr>
      </w:pPr>
      <w:r>
        <w:rPr>
          <w:rFonts w:ascii="Palatino Linotype" w:hAnsi="Palatino Linotype" w:cs="Tahoma"/>
        </w:rPr>
        <w:t>-</w:t>
      </w:r>
      <w:r>
        <w:rPr>
          <w:rFonts w:ascii="Palatino Linotype" w:hAnsi="Palatino Linotype" w:cs="Tahoma"/>
          <w:i/>
        </w:rPr>
        <w:t>Bylock tutuklamaya esas tek delil midir?</w:t>
      </w:r>
      <w:r>
        <w:rPr>
          <w:rFonts w:ascii="Palatino Linotype" w:hAnsi="Palatino Linotype" w:cs="Tahoma"/>
        </w:rPr>
        <w:t xml:space="preserve"> Evet, Bylock kullanımı iddiası tutuklamaya esas tek delildir.</w:t>
      </w:r>
    </w:p>
    <w:p w:rsidR="004B3A11" w:rsidRDefault="004B3A11" w:rsidP="004B3A11">
      <w:pPr>
        <w:pStyle w:val="NormalWeb"/>
        <w:shd w:val="clear" w:color="auto" w:fill="FFFFFF"/>
        <w:spacing w:before="120" w:beforeAutospacing="0" w:after="120" w:afterAutospacing="0" w:line="276" w:lineRule="auto"/>
        <w:jc w:val="both"/>
        <w:rPr>
          <w:rFonts w:ascii="Palatino Linotype" w:hAnsi="Palatino Linotype" w:cs="Tahoma"/>
        </w:rPr>
      </w:pPr>
      <w:r>
        <w:rPr>
          <w:rFonts w:ascii="Palatino Linotype" w:hAnsi="Palatino Linotype" w:cs="Tahoma"/>
        </w:rPr>
        <w:t>-</w:t>
      </w:r>
      <w:r>
        <w:rPr>
          <w:rFonts w:ascii="Palatino Linotype" w:hAnsi="Palatino Linotype" w:cs="Tahoma"/>
          <w:i/>
        </w:rPr>
        <w:t>Bylock kullanımı kişinin FETÖ/PDY ile bağlantısını makul şekilde ortaya koymakta mıdır?</w:t>
      </w:r>
      <w:r>
        <w:rPr>
          <w:rFonts w:ascii="Palatino Linotype" w:hAnsi="Palatino Linotype" w:cs="Tahoma"/>
        </w:rPr>
        <w:t xml:space="preserve"> Hayır, Bylock kullanımı kişinin FETÖ/PDY ile bağlantısını makul şekilde ortaya koymaktan uzaktır.</w:t>
      </w:r>
    </w:p>
    <w:p w:rsidR="004B3A11" w:rsidRDefault="004B3A11" w:rsidP="004B3A11">
      <w:pPr>
        <w:pStyle w:val="NormalWeb"/>
        <w:shd w:val="clear" w:color="auto" w:fill="FFFFFF"/>
        <w:spacing w:before="120" w:beforeAutospacing="0" w:after="120" w:afterAutospacing="0" w:line="276" w:lineRule="auto"/>
        <w:jc w:val="both"/>
        <w:rPr>
          <w:rFonts w:ascii="Palatino Linotype" w:hAnsi="Palatino Linotype" w:cs="Tahoma"/>
        </w:rPr>
      </w:pPr>
      <w:r>
        <w:rPr>
          <w:rFonts w:ascii="Palatino Linotype" w:hAnsi="Palatino Linotype" w:cs="Tahoma"/>
        </w:rPr>
        <w:t>-</w:t>
      </w:r>
      <w:r>
        <w:rPr>
          <w:rFonts w:ascii="Palatino Linotype" w:hAnsi="Palatino Linotype" w:cs="Tahoma"/>
          <w:i/>
        </w:rPr>
        <w:t>Tutuklamaya karar veren sulh ceza hâkimi karar verdiği anda Bylock ile ilgili yeterli bilgiye sahip midir?</w:t>
      </w:r>
      <w:r>
        <w:rPr>
          <w:rFonts w:ascii="Palatino Linotype" w:hAnsi="Palatino Linotype" w:cs="Tahoma"/>
        </w:rPr>
        <w:t xml:space="preserve"> Hayır, tutuklamaya karar veren sulh ceza hâkimi karar verdiği anda Bylock ile ilgili yeterli bilgiye sahip değildir.</w:t>
      </w:r>
    </w:p>
    <w:p w:rsidR="004B3A11" w:rsidRDefault="004B3A11" w:rsidP="004B3A11">
      <w:pPr>
        <w:pStyle w:val="NormalWeb"/>
        <w:shd w:val="clear" w:color="auto" w:fill="FFFFFF"/>
        <w:spacing w:before="120" w:beforeAutospacing="0" w:after="120" w:afterAutospacing="0" w:line="276" w:lineRule="auto"/>
        <w:jc w:val="both"/>
        <w:rPr>
          <w:rFonts w:ascii="Palatino Linotype" w:hAnsi="Palatino Linotype" w:cs="Tahoma"/>
          <w:shd w:val="clear" w:color="auto" w:fill="FFFFFF"/>
        </w:rPr>
      </w:pPr>
      <w:r>
        <w:rPr>
          <w:rFonts w:ascii="Palatino Linotype" w:hAnsi="Palatino Linotype" w:cs="Tahoma"/>
          <w:shd w:val="clear" w:color="auto" w:fill="FFFFFF"/>
        </w:rPr>
        <w:t>Bu üç temel irdelemenin yanında AİHM, sırf şifreli bir iletişim uygulamasının indirilmesi veya kullanılması ya da gönderilen mesajların gizliliğini koruyacak diğer bir koruma yönteminin kullanılmasının tek başına bu iletişim programının yasadışı veya suç eylemi olduğunu ispat etmeye yetmeyeceğini belirtmiştir. Şifreli iletişim metodunun kullanımının, gönderilen mesajların içeriği, gönderildikleri bağlam ya da buna ilişkin diğer unsurlarla desteklenmesi halinde; kullanıcının bir suç örgütünün üyesi olduğundan şüphelenilebilecek makul bir gerekçenin bulunduğundan bahsedilebilecektir (p. 173).</w:t>
      </w:r>
    </w:p>
    <w:p w:rsidR="004B3A11" w:rsidRDefault="004B3A11" w:rsidP="004B3A11">
      <w:pPr>
        <w:pStyle w:val="NormalWeb"/>
        <w:shd w:val="clear" w:color="auto" w:fill="FFFFFF"/>
        <w:spacing w:before="120" w:beforeAutospacing="0" w:after="120" w:afterAutospacing="0" w:line="276" w:lineRule="auto"/>
        <w:jc w:val="both"/>
        <w:rPr>
          <w:rFonts w:ascii="Palatino Linotype" w:hAnsi="Palatino Linotype" w:cs="Tahoma"/>
          <w:shd w:val="clear" w:color="auto" w:fill="FFFFFF"/>
        </w:rPr>
      </w:pPr>
      <w:r>
        <w:rPr>
          <w:rFonts w:ascii="Palatino Linotype" w:hAnsi="Palatino Linotype" w:cs="Tahoma"/>
          <w:shd w:val="clear" w:color="auto" w:fill="FFFFFF"/>
        </w:rPr>
        <w:t xml:space="preserve">Bunlara ilaveten önemle vurgulamalıyız ki, AİHM, başvurucunun </w:t>
      </w:r>
      <w:r>
        <w:rPr>
          <w:rFonts w:ascii="Palatino Linotype" w:hAnsi="Palatino Linotype" w:cs="Tahoma"/>
          <w:i/>
          <w:shd w:val="clear" w:color="auto" w:fill="FFFFFF"/>
        </w:rPr>
        <w:t>“Bylock kırmızı listesi”</w:t>
      </w:r>
      <w:r>
        <w:rPr>
          <w:rFonts w:ascii="Palatino Linotype" w:hAnsi="Palatino Linotype" w:cs="Tahoma"/>
          <w:shd w:val="clear" w:color="auto" w:fill="FFFFFF"/>
        </w:rPr>
        <w:t xml:space="preserve">nde yer aldığına ilişkin belgenin sıhhat derecesini de son derece makul ve </w:t>
      </w:r>
      <w:r>
        <w:rPr>
          <w:rFonts w:ascii="Palatino Linotype" w:hAnsi="Palatino Linotype" w:cs="Tahoma"/>
          <w:shd w:val="clear" w:color="auto" w:fill="FFFFFF"/>
        </w:rPr>
        <w:lastRenderedPageBreak/>
        <w:t>sağlam gerekçelerle eleştirmiştir. AİHM’e göre bu belge, başvurucunun yasadışı herhangi bir faaliyetini belirlememekte veya bunu kanıtlamamaktadır. Zira bu belge, iddia edilen yasadışı faaliyetlerin tarihini veya sıklığını belirtmemekte ya da başvurucunun Bylock kullanıcılığı isnadının onun örgüt üyesi olduğunu nasıl gösterdiğini açıklamamaktadır (p. 180).</w:t>
      </w:r>
    </w:p>
    <w:p w:rsidR="004B3A11" w:rsidRDefault="004B3A11" w:rsidP="004B3A11">
      <w:pPr>
        <w:pStyle w:val="NormalWeb"/>
        <w:shd w:val="clear" w:color="auto" w:fill="FFFFFF"/>
        <w:spacing w:before="120" w:beforeAutospacing="0" w:after="120" w:afterAutospacing="0" w:line="276" w:lineRule="auto"/>
        <w:jc w:val="both"/>
        <w:rPr>
          <w:rFonts w:ascii="Palatino Linotype" w:hAnsi="Palatino Linotype" w:cs="Tahoma"/>
        </w:rPr>
      </w:pPr>
      <w:r>
        <w:rPr>
          <w:rFonts w:ascii="Palatino Linotype" w:hAnsi="Palatino Linotype" w:cs="Tahoma"/>
        </w:rPr>
        <w:t>AİHM, başvurucunun tutuklandığı anda sulh ceza hâkimliğinin elindeki delillerin </w:t>
      </w:r>
      <w:r>
        <w:rPr>
          <w:rFonts w:ascii="Palatino Linotype" w:hAnsi="Palatino Linotype" w:cs="Tahoma"/>
          <w:i/>
          <w:iCs/>
        </w:rPr>
        <w:t>“makul şüphe”</w:t>
      </w:r>
      <w:r>
        <w:rPr>
          <w:rFonts w:ascii="Palatino Linotype" w:hAnsi="Palatino Linotype" w:cs="Tahoma"/>
        </w:rPr>
        <w:t> gereğini karşılamadığı ve böylelikle başvurucunun isnat edilen suçu işlemiş olabileceğine tarafsız bir gözlemciyi ikna edemeyeceği sonucuna ulaşmıştır (p. 182).</w:t>
      </w:r>
    </w:p>
    <w:p w:rsidR="004B3A11" w:rsidRDefault="004B3A11" w:rsidP="004B3A11">
      <w:pPr>
        <w:pStyle w:val="NormalWeb"/>
        <w:shd w:val="clear" w:color="auto" w:fill="FFFFFF"/>
        <w:spacing w:before="120" w:beforeAutospacing="0" w:after="120" w:afterAutospacing="0" w:line="276" w:lineRule="auto"/>
        <w:jc w:val="both"/>
        <w:rPr>
          <w:rFonts w:ascii="Palatino Linotype" w:hAnsi="Palatino Linotype" w:cs="Tahoma"/>
        </w:rPr>
      </w:pPr>
      <w:r>
        <w:rPr>
          <w:rFonts w:ascii="Palatino Linotype" w:hAnsi="Palatino Linotype" w:cs="Tahoma"/>
        </w:rPr>
        <w:t xml:space="preserve">Dolayısıyla, tutuklandığı zaman başvurucunun bir suç işlediğine dair </w:t>
      </w:r>
      <w:r>
        <w:rPr>
          <w:rFonts w:ascii="Palatino Linotype" w:hAnsi="Palatino Linotype" w:cs="Tahoma"/>
          <w:b/>
          <w:u w:val="single"/>
        </w:rPr>
        <w:t xml:space="preserve">makul şüphenin mevcut olmaması </w:t>
      </w:r>
      <w:r>
        <w:rPr>
          <w:rFonts w:ascii="Palatino Linotype" w:hAnsi="Palatino Linotype" w:cs="Tahoma"/>
        </w:rPr>
        <w:t>nedeniyle 5/1 madde ihlal edilmiştir (p. 185).</w:t>
      </w:r>
    </w:p>
    <w:p w:rsidR="004B3A11" w:rsidRDefault="004B3A11" w:rsidP="004B3A11">
      <w:pPr>
        <w:pStyle w:val="NormalWeb"/>
        <w:shd w:val="clear" w:color="auto" w:fill="FFFFFF"/>
        <w:spacing w:before="120" w:beforeAutospacing="0" w:after="120" w:afterAutospacing="0" w:line="276" w:lineRule="auto"/>
        <w:jc w:val="both"/>
        <w:rPr>
          <w:rFonts w:ascii="Palatino Linotype" w:hAnsi="Palatino Linotype" w:cs="Tahoma"/>
        </w:rPr>
      </w:pPr>
      <w:r>
        <w:rPr>
          <w:rFonts w:ascii="Palatino Linotype" w:hAnsi="Palatino Linotype" w:cs="Tahoma"/>
        </w:rPr>
        <w:t>Bunların dışında;</w:t>
      </w:r>
    </w:p>
    <w:p w:rsidR="004B3A11" w:rsidRDefault="004B3A11" w:rsidP="004B3A11">
      <w:pPr>
        <w:pStyle w:val="NormalWeb"/>
        <w:shd w:val="clear" w:color="auto" w:fill="FFFFFF"/>
        <w:spacing w:before="120" w:beforeAutospacing="0" w:after="120" w:afterAutospacing="0" w:line="276" w:lineRule="auto"/>
        <w:jc w:val="both"/>
        <w:rPr>
          <w:rFonts w:ascii="Palatino Linotype" w:hAnsi="Palatino Linotype" w:cs="Tahoma"/>
          <w:shd w:val="clear" w:color="auto" w:fill="FFFFFF"/>
        </w:rPr>
      </w:pPr>
      <w:r>
        <w:rPr>
          <w:rFonts w:ascii="Palatino Linotype" w:hAnsi="Palatino Linotype" w:cs="Tahoma"/>
        </w:rPr>
        <w:t xml:space="preserve">- </w:t>
      </w:r>
      <w:r>
        <w:rPr>
          <w:rFonts w:ascii="Palatino Linotype" w:hAnsi="Palatino Linotype" w:cs="Tahoma"/>
          <w:shd w:val="clear" w:color="auto" w:fill="FFFFFF"/>
        </w:rPr>
        <w:t>tutuklama kararındaki makul şüphenin yeterince gerekçelendirilmemesi nedeniyle Sözleşme’nin 5/3 maddesinin ihlaline ,</w:t>
      </w:r>
    </w:p>
    <w:p w:rsidR="004B3A11" w:rsidRDefault="004B3A11" w:rsidP="004B3A11">
      <w:pPr>
        <w:pStyle w:val="NormalWeb"/>
        <w:shd w:val="clear" w:color="auto" w:fill="FFFFFF"/>
        <w:spacing w:before="120" w:beforeAutospacing="0" w:after="120" w:afterAutospacing="0" w:line="276" w:lineRule="auto"/>
        <w:jc w:val="both"/>
        <w:rPr>
          <w:rFonts w:ascii="Palatino Linotype" w:hAnsi="Palatino Linotype" w:cs="Tahoma"/>
          <w:shd w:val="clear" w:color="auto" w:fill="FFFFFF"/>
        </w:rPr>
      </w:pPr>
      <w:r>
        <w:rPr>
          <w:rFonts w:ascii="Palatino Linotype" w:hAnsi="Palatino Linotype" w:cs="Tahoma"/>
          <w:shd w:val="clear" w:color="auto" w:fill="FFFFFF"/>
        </w:rPr>
        <w:t>- dosyadaki gizlilik kararı sebebiyle Sözleşme’nin 5/4. maddesinin ihlal edildiğine karar vermiştir (p. 206).</w:t>
      </w:r>
    </w:p>
    <w:p w:rsidR="004B3A11" w:rsidRDefault="004B3A11" w:rsidP="004B3A11">
      <w:pPr>
        <w:spacing w:before="120" w:after="120" w:line="276" w:lineRule="auto"/>
        <w:jc w:val="both"/>
        <w:rPr>
          <w:rFonts w:ascii="Palatino Linotype" w:hAnsi="Palatino Linotype" w:cs="Tahoma"/>
          <w:b/>
          <w:sz w:val="24"/>
          <w:szCs w:val="24"/>
        </w:rPr>
      </w:pPr>
      <w:r>
        <w:rPr>
          <w:rFonts w:ascii="Palatino Linotype" w:hAnsi="Palatino Linotype" w:cs="Tahoma"/>
          <w:b/>
          <w:sz w:val="24"/>
          <w:szCs w:val="24"/>
        </w:rPr>
        <w:t>III. AKGÜN/TÜRKİYE KARARININ ŞAHSIMA İLİŞKİN DOSYA AÇISINDAN DEĞERLENDİRİLMESİ</w:t>
      </w:r>
    </w:p>
    <w:p w:rsidR="004B3A11" w:rsidRDefault="004B3A11" w:rsidP="004B3A11">
      <w:pPr>
        <w:spacing w:before="120" w:after="120" w:line="276" w:lineRule="auto"/>
        <w:jc w:val="both"/>
        <w:rPr>
          <w:rFonts w:ascii="Palatino Linotype" w:hAnsi="Palatino Linotype" w:cs="Tahoma"/>
          <w:sz w:val="24"/>
          <w:szCs w:val="24"/>
        </w:rPr>
      </w:pPr>
      <w:r>
        <w:rPr>
          <w:rFonts w:ascii="Palatino Linotype" w:hAnsi="Palatino Linotype" w:cs="Tahoma"/>
          <w:sz w:val="24"/>
          <w:szCs w:val="24"/>
        </w:rPr>
        <w:t xml:space="preserve">Yargılandığım dosyada AİHM kararına konu olay ve olgulara büyük benzerlikler mevcuttur. Zira ben de, salt Bylock kullanıcısı olduğum iddiasıyla </w:t>
      </w:r>
      <w:r>
        <w:rPr>
          <w:rFonts w:ascii="Palatino Linotype" w:hAnsi="Palatino Linotype" w:cs="Tahoma"/>
          <w:sz w:val="24"/>
          <w:szCs w:val="24"/>
          <w:highlight w:val="yellow"/>
        </w:rPr>
        <w:t>tutuklandım ve aynı gerekçeyle hapis cezasıyla cezalandırıldım.</w:t>
      </w:r>
      <w:r>
        <w:rPr>
          <w:rFonts w:ascii="Palatino Linotype" w:hAnsi="Palatino Linotype" w:cs="Tahoma"/>
          <w:sz w:val="24"/>
          <w:szCs w:val="24"/>
        </w:rPr>
        <w:t xml:space="preserve"> Yani, hem </w:t>
      </w:r>
      <w:r>
        <w:rPr>
          <w:rFonts w:ascii="Palatino Linotype" w:hAnsi="Palatino Linotype" w:cs="Tahoma"/>
          <w:sz w:val="24"/>
          <w:szCs w:val="24"/>
          <w:highlight w:val="yellow"/>
        </w:rPr>
        <w:t>tutuklanmama, hem de cezalandırılmama</w:t>
      </w:r>
      <w:r>
        <w:rPr>
          <w:rFonts w:ascii="Palatino Linotype" w:hAnsi="Palatino Linotype" w:cs="Tahoma"/>
          <w:sz w:val="24"/>
          <w:szCs w:val="24"/>
        </w:rPr>
        <w:t xml:space="preserve"> esas alınan </w:t>
      </w:r>
      <w:r>
        <w:rPr>
          <w:rFonts w:ascii="Palatino Linotype" w:hAnsi="Palatino Linotype" w:cs="Tahoma"/>
          <w:b/>
          <w:sz w:val="24"/>
          <w:szCs w:val="24"/>
          <w:u w:val="single"/>
        </w:rPr>
        <w:t>temel argüman Bylock kullanıcısı olduğuma ilişkin iddiadır</w:t>
      </w:r>
      <w:r>
        <w:rPr>
          <w:rFonts w:ascii="Palatino Linotype" w:hAnsi="Palatino Linotype" w:cs="Tahoma"/>
          <w:sz w:val="24"/>
          <w:szCs w:val="24"/>
        </w:rPr>
        <w:t xml:space="preserve">. Bu iddia da, kim tarafından tanzim edildiği belli olmayan mühürsüz bir belgeye dayanmaktadır. Yine, MİT’in yasadışı yollarla elde ettiği artık gün yüzüne çıkmış bir sunucu (server) tespitleri ile BTK yazısı da dosyamda Bylock kullanımımla ilintili kabul edilmiştir. </w:t>
      </w:r>
    </w:p>
    <w:p w:rsidR="004B3A11" w:rsidRDefault="004B3A11" w:rsidP="004B3A11">
      <w:pPr>
        <w:spacing w:before="120" w:after="120" w:line="276" w:lineRule="auto"/>
        <w:jc w:val="both"/>
        <w:rPr>
          <w:rFonts w:ascii="Palatino Linotype" w:hAnsi="Palatino Linotype" w:cs="Tahoma"/>
          <w:i/>
          <w:sz w:val="24"/>
          <w:szCs w:val="24"/>
        </w:rPr>
      </w:pPr>
      <w:r>
        <w:rPr>
          <w:rFonts w:ascii="Palatino Linotype" w:hAnsi="Palatino Linotype" w:cs="Tahoma"/>
          <w:sz w:val="24"/>
          <w:szCs w:val="24"/>
        </w:rPr>
        <w:t xml:space="preserve">Bylock kullanıcısı olduğuma ilişkin iddiaya rağmen ortaya </w:t>
      </w:r>
      <w:r>
        <w:rPr>
          <w:rFonts w:ascii="Palatino Linotype" w:hAnsi="Palatino Linotype" w:cs="Tahoma"/>
          <w:sz w:val="24"/>
          <w:szCs w:val="24"/>
          <w:highlight w:val="yellow"/>
        </w:rPr>
        <w:t>herhangi bir mesaj içeriği konulamamıştır/mesaj içeriği olarak dosyaya sunulan masaj metinlerinin hiç birisinde suç veya suç unsuru yoktur. Tamamı günlük, yasal ve meşru faaliyetlere ilişkindir ve örgütsel bir içerik taşımamaktadır.</w:t>
      </w:r>
    </w:p>
    <w:p w:rsidR="004B3A11" w:rsidRDefault="004B3A11" w:rsidP="004B3A11">
      <w:pPr>
        <w:spacing w:before="120" w:after="120" w:line="276" w:lineRule="auto"/>
        <w:jc w:val="both"/>
        <w:rPr>
          <w:rFonts w:ascii="Palatino Linotype" w:hAnsi="Palatino Linotype" w:cs="Tahoma"/>
          <w:sz w:val="24"/>
          <w:szCs w:val="24"/>
        </w:rPr>
      </w:pPr>
      <w:r>
        <w:rPr>
          <w:rFonts w:ascii="Palatino Linotype" w:hAnsi="Palatino Linotype" w:cs="Tahoma"/>
          <w:sz w:val="24"/>
          <w:szCs w:val="24"/>
        </w:rPr>
        <w:t xml:space="preserve">Hepsinden önemlisi Bylock bilgilerinin yer aldığı dijital materyaller tüm taleplerimize rağmen tarafımıza verilmemiştir. Böylece çelişmeli yargılama ilkesi ağır biçimde ihlal edilmiştir. </w:t>
      </w:r>
    </w:p>
    <w:p w:rsidR="004B3A11" w:rsidRDefault="004B3A11" w:rsidP="004B3A11">
      <w:pPr>
        <w:spacing w:before="120" w:after="120" w:line="276" w:lineRule="auto"/>
        <w:jc w:val="both"/>
        <w:rPr>
          <w:rFonts w:ascii="Palatino Linotype" w:hAnsi="Palatino Linotype" w:cs="Tahoma"/>
          <w:b/>
          <w:bCs/>
          <w:sz w:val="24"/>
          <w:szCs w:val="24"/>
          <w:shd w:val="clear" w:color="auto" w:fill="FFFFFF"/>
        </w:rPr>
      </w:pPr>
      <w:r>
        <w:rPr>
          <w:rFonts w:ascii="Palatino Linotype" w:hAnsi="Palatino Linotype" w:cs="Tahoma"/>
          <w:sz w:val="24"/>
          <w:szCs w:val="24"/>
        </w:rPr>
        <w:t xml:space="preserve">Bütün bu bilgiler ışığında; Akgün/Türkiye kararında var olan maddi olay ve olguların neredeyse tamamı dosyamda da mevcuttur. Ayrıca, </w:t>
      </w:r>
      <w:r>
        <w:rPr>
          <w:rFonts w:ascii="Palatino Linotype" w:hAnsi="Palatino Linotype" w:cs="Tahoma"/>
          <w:b/>
          <w:bCs/>
          <w:sz w:val="24"/>
          <w:szCs w:val="24"/>
          <w:shd w:val="clear" w:color="auto" w:fill="FFFFFF"/>
        </w:rPr>
        <w:t xml:space="preserve">sadece Bylock </w:t>
      </w:r>
      <w:r>
        <w:rPr>
          <w:rFonts w:ascii="Palatino Linotype" w:hAnsi="Palatino Linotype" w:cs="Tahoma"/>
          <w:b/>
          <w:bCs/>
          <w:sz w:val="24"/>
          <w:szCs w:val="24"/>
          <w:shd w:val="clear" w:color="auto" w:fill="FFFFFF"/>
        </w:rPr>
        <w:lastRenderedPageBreak/>
        <w:t>iddiasına dayalı tutuklama şikâyetli başvuruların neredeyse tamamında AİHM’in aynı sonuca ulaşacağını öngörmek mümkündür.</w:t>
      </w:r>
    </w:p>
    <w:p w:rsidR="004B3A11" w:rsidRDefault="004B3A11" w:rsidP="004B3A11">
      <w:pPr>
        <w:spacing w:before="120" w:after="120" w:line="276" w:lineRule="auto"/>
        <w:jc w:val="both"/>
        <w:rPr>
          <w:rFonts w:ascii="Palatino Linotype" w:hAnsi="Palatino Linotype" w:cs="Tahoma"/>
          <w:sz w:val="24"/>
          <w:szCs w:val="24"/>
        </w:rPr>
      </w:pPr>
      <w:r>
        <w:rPr>
          <w:rFonts w:ascii="Palatino Linotype" w:hAnsi="Palatino Linotype" w:cs="Tahoma"/>
          <w:b/>
          <w:bCs/>
          <w:sz w:val="24"/>
          <w:szCs w:val="24"/>
          <w:shd w:val="clear" w:color="auto" w:fill="FFFFFF"/>
        </w:rPr>
        <w:t xml:space="preserve">IV. </w:t>
      </w:r>
      <w:r>
        <w:rPr>
          <w:rFonts w:ascii="Palatino Linotype" w:hAnsi="Palatino Linotype" w:cs="Tahoma"/>
          <w:b/>
          <w:sz w:val="24"/>
          <w:szCs w:val="24"/>
        </w:rPr>
        <w:t>SONUÇ VE İSTEM:</w:t>
      </w:r>
      <w:r>
        <w:rPr>
          <w:rFonts w:ascii="Palatino Linotype" w:hAnsi="Palatino Linotype" w:cs="Tahoma"/>
          <w:sz w:val="24"/>
          <w:szCs w:val="24"/>
        </w:rPr>
        <w:t xml:space="preserve"> </w:t>
      </w:r>
    </w:p>
    <w:p w:rsidR="004B3A11" w:rsidRDefault="004B3A11" w:rsidP="004B3A11">
      <w:pPr>
        <w:spacing w:before="120" w:after="120" w:line="276" w:lineRule="auto"/>
        <w:jc w:val="both"/>
        <w:rPr>
          <w:rFonts w:ascii="Palatino Linotype" w:hAnsi="Palatino Linotype" w:cs="Tahoma"/>
          <w:sz w:val="24"/>
          <w:szCs w:val="24"/>
        </w:rPr>
      </w:pPr>
      <w:r>
        <w:rPr>
          <w:rFonts w:ascii="Palatino Linotype" w:hAnsi="Palatino Linotype" w:cs="Tahoma"/>
          <w:sz w:val="24"/>
          <w:szCs w:val="24"/>
        </w:rPr>
        <w:t xml:space="preserve">Akgün/Türkiye kararında ortaya konulan maddi olaylara tamamen benzeyen ve ihlal tespit edilen bir dijital delile dayanılarak önce </w:t>
      </w:r>
      <w:r>
        <w:rPr>
          <w:rFonts w:ascii="Palatino Linotype" w:hAnsi="Palatino Linotype" w:cs="Tahoma"/>
          <w:sz w:val="24"/>
          <w:szCs w:val="24"/>
          <w:highlight w:val="yellow"/>
        </w:rPr>
        <w:t>tutuklandım, akabinde mahkûm edildim.</w:t>
      </w:r>
    </w:p>
    <w:p w:rsidR="004B3A11" w:rsidRDefault="004B3A11" w:rsidP="004B3A11">
      <w:pPr>
        <w:spacing w:before="120" w:after="120" w:line="276" w:lineRule="auto"/>
        <w:jc w:val="both"/>
        <w:rPr>
          <w:rFonts w:ascii="Palatino Linotype" w:hAnsi="Palatino Linotype" w:cs="Tahoma"/>
          <w:sz w:val="24"/>
          <w:szCs w:val="24"/>
        </w:rPr>
      </w:pPr>
      <w:r>
        <w:rPr>
          <w:rFonts w:ascii="Palatino Linotype" w:hAnsi="Palatino Linotype" w:cs="Tahoma"/>
          <w:sz w:val="24"/>
          <w:szCs w:val="24"/>
        </w:rPr>
        <w:t xml:space="preserve">Kanun yolu incelemelerinin de AİHM’in ihlal sebebi saydığı yaklaşımlar ile yapıldığı bilinmektedir. Oysa AİHM, Akgün/Türkiye kararında Yargıtay’ın ve Anayasa Mahkemesi’nin bahse konu aplikasyonun salt indirilmiş olmasının örgüt üyeliği açısından yeterli olduğu yönündeki </w:t>
      </w:r>
      <w:bookmarkStart w:id="0" w:name="_GoBack"/>
      <w:bookmarkEnd w:id="0"/>
      <w:r>
        <w:rPr>
          <w:rFonts w:ascii="Palatino Linotype" w:hAnsi="Palatino Linotype" w:cs="Tahoma"/>
          <w:sz w:val="24"/>
          <w:szCs w:val="24"/>
        </w:rPr>
        <w:t xml:space="preserve">yaklaşımlarını da ciddi biçimde eleştirilmektedir. </w:t>
      </w:r>
    </w:p>
    <w:p w:rsidR="004B3A11" w:rsidRDefault="004B3A11" w:rsidP="004B3A11">
      <w:pPr>
        <w:spacing w:before="120" w:after="120" w:line="276" w:lineRule="auto"/>
        <w:jc w:val="both"/>
        <w:rPr>
          <w:rFonts w:ascii="Palatino Linotype" w:hAnsi="Palatino Linotype" w:cs="Tahoma"/>
          <w:sz w:val="24"/>
          <w:szCs w:val="24"/>
        </w:rPr>
      </w:pPr>
      <w:r>
        <w:rPr>
          <w:rFonts w:ascii="Palatino Linotype" w:hAnsi="Palatino Linotype" w:cs="Tahoma"/>
          <w:sz w:val="24"/>
          <w:szCs w:val="24"/>
        </w:rPr>
        <w:t xml:space="preserve">AİHM kararlarının, yargı yetkisini tanımış olan taraf devlet mahkemeleri açısından bağlayıcı olduğu Anayasal bir hükümdür. Bu nedenle, aradaki büyük benzerlik sebebiyle AİHM içtihadının dosyama da uygulanması icap etmektedir. </w:t>
      </w:r>
    </w:p>
    <w:p w:rsidR="004B3A11" w:rsidRDefault="004B3A11" w:rsidP="004B3A11">
      <w:pPr>
        <w:spacing w:before="120" w:after="120" w:line="276" w:lineRule="auto"/>
        <w:jc w:val="both"/>
        <w:rPr>
          <w:rFonts w:ascii="Palatino Linotype" w:hAnsi="Palatino Linotype" w:cs="Tahoma"/>
          <w:sz w:val="24"/>
          <w:szCs w:val="24"/>
        </w:rPr>
      </w:pPr>
      <w:r>
        <w:rPr>
          <w:rFonts w:ascii="Palatino Linotype" w:hAnsi="Palatino Linotype" w:cs="Tahoma"/>
          <w:sz w:val="24"/>
          <w:szCs w:val="24"/>
        </w:rPr>
        <w:t xml:space="preserve">Anılan sebeplerle, AİHM kararındaki yaklaşımın dosyamızın incelenmesinde dikkate alınmasını ve hakkımda </w:t>
      </w:r>
      <w:r>
        <w:rPr>
          <w:rFonts w:ascii="Palatino Linotype" w:hAnsi="Palatino Linotype" w:cs="Tahoma"/>
          <w:sz w:val="24"/>
          <w:szCs w:val="24"/>
          <w:highlight w:val="yellow"/>
        </w:rPr>
        <w:t>verilen tutuklama kararının kaldırılarak serbest bırakılmamı/tesis edilen mahkûmiyet hükmünün bozularak BERAATIMA karar verilmesini</w:t>
      </w:r>
      <w:r>
        <w:rPr>
          <w:rFonts w:ascii="Palatino Linotype" w:hAnsi="Palatino Linotype" w:cs="Tahoma"/>
          <w:sz w:val="24"/>
          <w:szCs w:val="24"/>
        </w:rPr>
        <w:t xml:space="preserve"> talep ederim. …</w:t>
      </w:r>
      <w:r>
        <w:rPr>
          <w:rFonts w:ascii="Palatino Linotype" w:hAnsi="Palatino Linotype" w:cs="Tahoma"/>
          <w:b/>
          <w:sz w:val="24"/>
          <w:szCs w:val="24"/>
        </w:rPr>
        <w:t>/…/2021</w:t>
      </w:r>
    </w:p>
    <w:p w:rsidR="004B3A11" w:rsidRDefault="004B3A11" w:rsidP="004B3A11">
      <w:pPr>
        <w:spacing w:before="120" w:after="120" w:line="276" w:lineRule="auto"/>
        <w:jc w:val="both"/>
        <w:rPr>
          <w:rFonts w:ascii="Palatino Linotype" w:hAnsi="Palatino Linotype" w:cs="Tahoma"/>
          <w:sz w:val="24"/>
          <w:szCs w:val="24"/>
        </w:rPr>
      </w:pPr>
      <w:r>
        <w:rPr>
          <w:rFonts w:ascii="Palatino Linotype" w:hAnsi="Palatino Linotype" w:cs="Tahoma"/>
          <w:sz w:val="24"/>
          <w:szCs w:val="24"/>
        </w:rPr>
        <w:tab/>
      </w:r>
      <w:r>
        <w:rPr>
          <w:rFonts w:ascii="Palatino Linotype" w:hAnsi="Palatino Linotype" w:cs="Tahoma"/>
          <w:sz w:val="24"/>
          <w:szCs w:val="24"/>
        </w:rPr>
        <w:tab/>
      </w:r>
      <w:r>
        <w:rPr>
          <w:rFonts w:ascii="Palatino Linotype" w:hAnsi="Palatino Linotype" w:cs="Tahoma"/>
          <w:sz w:val="24"/>
          <w:szCs w:val="24"/>
        </w:rPr>
        <w:tab/>
      </w:r>
      <w:r>
        <w:rPr>
          <w:rFonts w:ascii="Palatino Linotype" w:hAnsi="Palatino Linotype" w:cs="Tahoma"/>
          <w:sz w:val="24"/>
          <w:szCs w:val="24"/>
        </w:rPr>
        <w:tab/>
      </w:r>
      <w:r>
        <w:rPr>
          <w:rFonts w:ascii="Palatino Linotype" w:hAnsi="Palatino Linotype" w:cs="Tahoma"/>
          <w:sz w:val="24"/>
          <w:szCs w:val="24"/>
        </w:rPr>
        <w:tab/>
      </w:r>
      <w:r>
        <w:rPr>
          <w:rFonts w:ascii="Palatino Linotype" w:hAnsi="Palatino Linotype" w:cs="Tahoma"/>
          <w:sz w:val="24"/>
          <w:szCs w:val="24"/>
        </w:rPr>
        <w:tab/>
      </w:r>
      <w:r>
        <w:rPr>
          <w:rFonts w:ascii="Palatino Linotype" w:hAnsi="Palatino Linotype" w:cs="Tahoma"/>
          <w:sz w:val="24"/>
          <w:szCs w:val="24"/>
        </w:rPr>
        <w:tab/>
      </w:r>
      <w:r>
        <w:rPr>
          <w:rFonts w:ascii="Palatino Linotype" w:hAnsi="Palatino Linotype" w:cs="Tahoma"/>
          <w:sz w:val="24"/>
          <w:szCs w:val="24"/>
        </w:rPr>
        <w:tab/>
      </w:r>
      <w:r>
        <w:rPr>
          <w:rFonts w:ascii="Palatino Linotype" w:hAnsi="Palatino Linotype" w:cs="Tahoma"/>
          <w:sz w:val="24"/>
          <w:szCs w:val="24"/>
        </w:rPr>
        <w:tab/>
      </w:r>
      <w:r>
        <w:rPr>
          <w:rFonts w:ascii="Palatino Linotype" w:hAnsi="Palatino Linotype" w:cs="Tahoma"/>
          <w:sz w:val="24"/>
          <w:szCs w:val="24"/>
        </w:rPr>
        <w:tab/>
      </w:r>
      <w:r>
        <w:rPr>
          <w:rFonts w:ascii="Palatino Linotype" w:hAnsi="Palatino Linotype" w:cs="Tahoma"/>
          <w:sz w:val="24"/>
          <w:szCs w:val="24"/>
        </w:rPr>
        <w:tab/>
      </w:r>
      <w:r>
        <w:rPr>
          <w:rFonts w:ascii="Palatino Linotype" w:hAnsi="Palatino Linotype" w:cs="Tahoma"/>
          <w:sz w:val="24"/>
          <w:szCs w:val="24"/>
        </w:rPr>
        <w:tab/>
      </w:r>
      <w:r>
        <w:rPr>
          <w:rFonts w:ascii="Palatino Linotype" w:hAnsi="Palatino Linotype" w:cs="Tahoma"/>
          <w:sz w:val="24"/>
          <w:szCs w:val="24"/>
        </w:rPr>
        <w:tab/>
      </w:r>
      <w:r>
        <w:rPr>
          <w:rFonts w:ascii="Palatino Linotype" w:hAnsi="Palatino Linotype" w:cs="Tahoma"/>
          <w:sz w:val="24"/>
          <w:szCs w:val="24"/>
        </w:rPr>
        <w:tab/>
      </w:r>
      <w:r>
        <w:rPr>
          <w:rFonts w:ascii="Palatino Linotype" w:hAnsi="Palatino Linotype" w:cs="Tahoma"/>
          <w:sz w:val="24"/>
          <w:szCs w:val="24"/>
        </w:rPr>
        <w:tab/>
      </w:r>
      <w:r>
        <w:rPr>
          <w:rFonts w:ascii="Palatino Linotype" w:hAnsi="Palatino Linotype" w:cs="Tahoma"/>
          <w:sz w:val="24"/>
          <w:szCs w:val="24"/>
        </w:rPr>
        <w:tab/>
      </w:r>
      <w:r>
        <w:rPr>
          <w:rFonts w:ascii="Palatino Linotype" w:hAnsi="Palatino Linotype" w:cs="Tahoma"/>
          <w:sz w:val="24"/>
          <w:szCs w:val="24"/>
        </w:rPr>
        <w:tab/>
      </w:r>
      <w:r>
        <w:rPr>
          <w:rFonts w:ascii="Palatino Linotype" w:hAnsi="Palatino Linotype" w:cs="Tahoma"/>
          <w:sz w:val="24"/>
          <w:szCs w:val="24"/>
        </w:rPr>
        <w:tab/>
      </w:r>
      <w:r>
        <w:rPr>
          <w:rFonts w:ascii="Palatino Linotype" w:hAnsi="Palatino Linotype" w:cs="Tahoma"/>
          <w:sz w:val="24"/>
          <w:szCs w:val="24"/>
        </w:rPr>
        <w:tab/>
      </w:r>
      <w:r>
        <w:rPr>
          <w:rFonts w:ascii="Palatino Linotype" w:hAnsi="Palatino Linotype" w:cs="Tahoma"/>
          <w:sz w:val="24"/>
          <w:szCs w:val="24"/>
        </w:rPr>
        <w:tab/>
        <w:t xml:space="preserve">             (İsim-Soyisim-İmza)</w:t>
      </w:r>
    </w:p>
    <w:p w:rsidR="004B3A11" w:rsidRDefault="004B3A11" w:rsidP="004B3A11">
      <w:pPr>
        <w:spacing w:before="120" w:after="120" w:line="276" w:lineRule="auto"/>
        <w:jc w:val="both"/>
        <w:rPr>
          <w:rFonts w:ascii="Palatino Linotype" w:hAnsi="Palatino Linotype" w:cs="Tahoma"/>
          <w:b/>
          <w:sz w:val="24"/>
          <w:szCs w:val="24"/>
        </w:rPr>
      </w:pPr>
    </w:p>
    <w:p w:rsidR="004B3A11" w:rsidRDefault="004B3A11" w:rsidP="004B3A11">
      <w:pPr>
        <w:spacing w:before="120" w:after="120" w:line="276" w:lineRule="auto"/>
        <w:jc w:val="both"/>
        <w:rPr>
          <w:rFonts w:ascii="Palatino Linotype" w:hAnsi="Palatino Linotype" w:cs="Tahoma"/>
          <w:b/>
          <w:sz w:val="24"/>
          <w:szCs w:val="24"/>
        </w:rPr>
      </w:pPr>
      <w:r>
        <w:rPr>
          <w:rFonts w:ascii="Palatino Linotype" w:hAnsi="Palatino Linotype" w:cs="Tahoma"/>
          <w:b/>
          <w:sz w:val="24"/>
          <w:szCs w:val="24"/>
        </w:rPr>
        <w:t>Adres:</w:t>
      </w:r>
    </w:p>
    <w:p w:rsidR="004B3A11" w:rsidRDefault="004B3A11" w:rsidP="004B3A11">
      <w:pPr>
        <w:spacing w:before="120" w:after="120" w:line="276" w:lineRule="auto"/>
        <w:jc w:val="both"/>
        <w:rPr>
          <w:rFonts w:ascii="Palatino Linotype" w:hAnsi="Palatino Linotype" w:cs="Tahoma"/>
          <w:b/>
          <w:sz w:val="24"/>
          <w:szCs w:val="24"/>
        </w:rPr>
      </w:pPr>
    </w:p>
    <w:p w:rsidR="004B3A11" w:rsidRDefault="004B3A11" w:rsidP="004B3A11">
      <w:pPr>
        <w:spacing w:before="120" w:after="120" w:line="276" w:lineRule="auto"/>
        <w:jc w:val="both"/>
        <w:rPr>
          <w:rFonts w:ascii="Palatino Linotype" w:hAnsi="Palatino Linotype" w:cs="Tahoma"/>
          <w:sz w:val="24"/>
          <w:szCs w:val="24"/>
        </w:rPr>
      </w:pPr>
    </w:p>
    <w:p w:rsidR="004B3A11" w:rsidRDefault="004B3A11" w:rsidP="004B3A11">
      <w:pPr>
        <w:spacing w:before="120" w:after="120" w:line="276" w:lineRule="auto"/>
        <w:jc w:val="both"/>
        <w:rPr>
          <w:rFonts w:ascii="Palatino Linotype" w:hAnsi="Palatino Linotype" w:cs="Tahoma"/>
          <w:b/>
          <w:sz w:val="24"/>
          <w:szCs w:val="24"/>
          <w:u w:val="single"/>
        </w:rPr>
      </w:pPr>
      <w:r>
        <w:rPr>
          <w:rFonts w:ascii="Palatino Linotype" w:hAnsi="Palatino Linotype" w:cs="Tahoma"/>
          <w:b/>
          <w:sz w:val="24"/>
          <w:szCs w:val="24"/>
          <w:u w:val="single"/>
        </w:rPr>
        <w:t>EKLER:</w:t>
      </w:r>
    </w:p>
    <w:p w:rsidR="004B3A11" w:rsidRDefault="004B3A11" w:rsidP="004B3A11">
      <w:pPr>
        <w:spacing w:before="120" w:after="120" w:line="276" w:lineRule="auto"/>
        <w:jc w:val="both"/>
        <w:rPr>
          <w:rFonts w:ascii="Palatino Linotype" w:hAnsi="Palatino Linotype" w:cs="Tahoma"/>
          <w:sz w:val="24"/>
          <w:szCs w:val="24"/>
        </w:rPr>
      </w:pPr>
      <w:r>
        <w:rPr>
          <w:rFonts w:ascii="Palatino Linotype" w:hAnsi="Palatino Linotype" w:cs="Tahoma"/>
          <w:sz w:val="24"/>
          <w:szCs w:val="24"/>
        </w:rPr>
        <w:t>EK 1: Akgün/Türkiye Kararına İlişkin AİHM’in Resmi Basın Bildirisi (Türkçe)</w:t>
      </w:r>
    </w:p>
    <w:p w:rsidR="004B3A11" w:rsidRDefault="004B3A11" w:rsidP="004B3A11">
      <w:pPr>
        <w:spacing w:before="120" w:after="120" w:line="276" w:lineRule="auto"/>
        <w:jc w:val="both"/>
        <w:rPr>
          <w:rFonts w:ascii="Palatino Linotype" w:hAnsi="Palatino Linotype" w:cs="Tahoma"/>
          <w:b/>
          <w:sz w:val="24"/>
          <w:szCs w:val="24"/>
        </w:rPr>
      </w:pPr>
      <w:r>
        <w:rPr>
          <w:rFonts w:ascii="Palatino Linotype" w:hAnsi="Palatino Linotype" w:cs="Tahoma"/>
          <w:sz w:val="24"/>
          <w:szCs w:val="24"/>
        </w:rPr>
        <w:t>EK 2: Konuyla İlgili Kaleme Alınmış Makale</w:t>
      </w:r>
    </w:p>
    <w:p w:rsidR="003D7D34" w:rsidRDefault="008332B6"/>
    <w:sectPr w:rsidR="003D7D34" w:rsidSect="00AD5571">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2B6" w:rsidRDefault="008332B6" w:rsidP="004B3A11">
      <w:pPr>
        <w:spacing w:after="0" w:line="240" w:lineRule="auto"/>
      </w:pPr>
      <w:r>
        <w:separator/>
      </w:r>
    </w:p>
  </w:endnote>
  <w:endnote w:type="continuationSeparator" w:id="1">
    <w:p w:rsidR="008332B6" w:rsidRDefault="008332B6" w:rsidP="004B3A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2B6" w:rsidRDefault="008332B6" w:rsidP="004B3A11">
      <w:pPr>
        <w:spacing w:after="0" w:line="240" w:lineRule="auto"/>
      </w:pPr>
      <w:r>
        <w:separator/>
      </w:r>
    </w:p>
  </w:footnote>
  <w:footnote w:type="continuationSeparator" w:id="1">
    <w:p w:rsidR="008332B6" w:rsidRDefault="008332B6" w:rsidP="004B3A11">
      <w:pPr>
        <w:spacing w:after="0" w:line="240" w:lineRule="auto"/>
      </w:pPr>
      <w:r>
        <w:continuationSeparator/>
      </w:r>
    </w:p>
  </w:footnote>
  <w:footnote w:id="2">
    <w:p w:rsidR="004B3A11" w:rsidRDefault="004B3A11" w:rsidP="004B3A11">
      <w:pPr>
        <w:pStyle w:val="DipnotMetni"/>
        <w:ind w:left="567" w:hanging="567"/>
        <w:jc w:val="both"/>
        <w:rPr>
          <w:rFonts w:ascii="Palatino Linotype" w:hAnsi="Palatino Linotype"/>
        </w:rPr>
      </w:pPr>
      <w:r>
        <w:rPr>
          <w:rStyle w:val="DipnotBavurusu"/>
          <w:rFonts w:ascii="Palatino Linotype" w:hAnsi="Palatino Linotype"/>
        </w:rPr>
        <w:footnoteRef/>
      </w:r>
      <w:r>
        <w:rPr>
          <w:rFonts w:ascii="Palatino Linotype" w:hAnsi="Palatino Linotype"/>
        </w:rPr>
        <w:t xml:space="preserve">  </w:t>
      </w:r>
      <w:r>
        <w:rPr>
          <w:rFonts w:ascii="Palatino Linotype" w:hAnsi="Palatino Linotype"/>
        </w:rPr>
        <w:tab/>
        <w:t xml:space="preserve">Akgün/Türkiye, B. No: </w:t>
      </w:r>
      <w:r>
        <w:rPr>
          <w:rFonts w:ascii="Palatino Linotype" w:hAnsi="Palatino Linotype" w:cs="Tahoma"/>
        </w:rPr>
        <w:t xml:space="preserve">19699/18, 20/7/2021; </w:t>
      </w:r>
      <w:hyperlink r:id="rId1" w:history="1">
        <w:r>
          <w:rPr>
            <w:rStyle w:val="Kpr"/>
            <w:rFonts w:ascii="Palatino Linotype" w:hAnsi="Palatino Linotype" w:cs="Tahoma"/>
            <w:color w:val="auto"/>
            <w:u w:val="none"/>
          </w:rPr>
          <w:t>http://hudoc.echr.coe.int/eng?i=001-211233</w:t>
        </w:r>
      </w:hyperlink>
    </w:p>
  </w:footnote>
  <w:footnote w:id="3">
    <w:p w:rsidR="004B3A11" w:rsidRDefault="004B3A11" w:rsidP="004B3A11">
      <w:pPr>
        <w:pStyle w:val="DipnotMetni"/>
        <w:ind w:left="567" w:hanging="567"/>
        <w:jc w:val="both"/>
        <w:rPr>
          <w:rFonts w:ascii="Palatino Linotype" w:hAnsi="Palatino Linotype"/>
        </w:rPr>
      </w:pPr>
      <w:r>
        <w:rPr>
          <w:rStyle w:val="DipnotBavurusu"/>
          <w:rFonts w:ascii="Palatino Linotype" w:hAnsi="Palatino Linotype"/>
        </w:rPr>
        <w:footnoteRef/>
      </w:r>
      <w:r>
        <w:rPr>
          <w:rFonts w:ascii="Palatino Linotype" w:hAnsi="Palatino Linotype"/>
        </w:rPr>
        <w:t xml:space="preserve"> </w:t>
      </w:r>
      <w:r>
        <w:rPr>
          <w:rFonts w:ascii="Palatino Linotype" w:hAnsi="Palatino Linotype"/>
        </w:rPr>
        <w:tab/>
      </w:r>
      <w:hyperlink r:id="rId2" w:history="1">
        <w:r>
          <w:rPr>
            <w:rStyle w:val="Kpr"/>
            <w:rFonts w:ascii="Palatino Linotype" w:hAnsi="Palatino Linotype"/>
            <w:color w:val="auto"/>
            <w:u w:val="none"/>
          </w:rPr>
          <w:t>https://twitter.com/GizayDulkadir/status/1418227725052039172</w:t>
        </w:r>
      </w:hyperlink>
      <w:r>
        <w:rPr>
          <w:rFonts w:ascii="Palatino Linotype" w:hAnsi="Palatino Linotype"/>
        </w:rPr>
        <w:t>; https://drive.google.com/file/d/1cbMJlScbkOE6O2XA1u0EjShbU8vFcnsL/view</w:t>
      </w:r>
    </w:p>
  </w:footnote>
  <w:footnote w:id="4">
    <w:p w:rsidR="004B3A11" w:rsidRDefault="004B3A11" w:rsidP="004B3A11">
      <w:pPr>
        <w:pStyle w:val="DipnotMetni"/>
        <w:ind w:left="567" w:hanging="567"/>
        <w:jc w:val="both"/>
        <w:rPr>
          <w:rFonts w:ascii="Palatino Linotype" w:hAnsi="Palatino Linotype"/>
        </w:rPr>
      </w:pPr>
      <w:r>
        <w:rPr>
          <w:rStyle w:val="DipnotBavurusu"/>
          <w:rFonts w:ascii="Palatino Linotype" w:hAnsi="Palatino Linotype"/>
        </w:rPr>
        <w:footnoteRef/>
      </w:r>
      <w:r>
        <w:rPr>
          <w:rFonts w:ascii="Palatino Linotype" w:hAnsi="Palatino Linotype"/>
        </w:rPr>
        <w:t xml:space="preserve"> </w:t>
      </w:r>
      <w:r>
        <w:rPr>
          <w:rFonts w:ascii="Palatino Linotype" w:hAnsi="Palatino Linotype"/>
        </w:rPr>
        <w:tab/>
        <w:t xml:space="preserve">GÜNEŞ Gökhan, </w:t>
      </w:r>
      <w:r>
        <w:rPr>
          <w:rFonts w:ascii="Palatino Linotype" w:hAnsi="Palatino Linotype"/>
          <w:i/>
        </w:rPr>
        <w:t>“AİHM’in Akgün/Türkiye Kararının Değerlendirilmesi</w:t>
      </w:r>
      <w:r>
        <w:rPr>
          <w:rFonts w:ascii="Palatino Linotype" w:hAnsi="Palatino Linotype"/>
        </w:rPr>
        <w:t xml:space="preserve">”, </w:t>
      </w:r>
      <w:hyperlink r:id="rId3" w:history="1">
        <w:r>
          <w:rPr>
            <w:rStyle w:val="Kpr"/>
            <w:rFonts w:ascii="Palatino Linotype" w:hAnsi="Palatino Linotype"/>
            <w:color w:val="auto"/>
            <w:u w:val="none"/>
          </w:rPr>
          <w:t>https://www.drgokhangunes.com/makale/aihmin-akgun-turkiye-kararinin-degerlendirilmesi/</w:t>
        </w:r>
      </w:hyperlink>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08"/>
  <w:hyphenationZone w:val="425"/>
  <w:characterSpacingControl w:val="doNotCompress"/>
  <w:footnotePr>
    <w:footnote w:id="0"/>
    <w:footnote w:id="1"/>
  </w:footnotePr>
  <w:endnotePr>
    <w:endnote w:id="0"/>
    <w:endnote w:id="1"/>
  </w:endnotePr>
  <w:compat/>
  <w:rsids>
    <w:rsidRoot w:val="004B3A11"/>
    <w:rsid w:val="004B3A11"/>
    <w:rsid w:val="008332B6"/>
    <w:rsid w:val="00AD5571"/>
    <w:rsid w:val="00C362BD"/>
    <w:rsid w:val="00EA1A7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11"/>
    <w:pPr>
      <w:spacing w:after="160" w:line="256" w:lineRule="auto"/>
    </w:pPr>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B3A11"/>
    <w:rPr>
      <w:color w:val="0000FF" w:themeColor="hyperlink"/>
      <w:u w:val="single"/>
    </w:rPr>
  </w:style>
  <w:style w:type="paragraph" w:styleId="NormalWeb">
    <w:name w:val="Normal (Web)"/>
    <w:basedOn w:val="Normal"/>
    <w:uiPriority w:val="99"/>
    <w:semiHidden/>
    <w:unhideWhenUsed/>
    <w:rsid w:val="004B3A1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4B3A1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B3A11"/>
    <w:rPr>
      <w:sz w:val="20"/>
      <w:szCs w:val="20"/>
      <w:lang w:val="tr-TR"/>
    </w:rPr>
  </w:style>
  <w:style w:type="character" w:styleId="DipnotBavurusu">
    <w:name w:val="footnote reference"/>
    <w:basedOn w:val="VarsaylanParagrafYazTipi"/>
    <w:uiPriority w:val="99"/>
    <w:semiHidden/>
    <w:unhideWhenUsed/>
    <w:rsid w:val="004B3A11"/>
    <w:rPr>
      <w:vertAlign w:val="superscript"/>
    </w:rPr>
  </w:style>
</w:styles>
</file>

<file path=word/webSettings.xml><?xml version="1.0" encoding="utf-8"?>
<w:webSettings xmlns:r="http://schemas.openxmlformats.org/officeDocument/2006/relationships" xmlns:w="http://schemas.openxmlformats.org/wordprocessingml/2006/main">
  <w:divs>
    <w:div w:id="147182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drgokhangunes.com/makale/aihmin-akgun-turkiye-kararinin-degerlendirilmesi/" TargetMode="External"/><Relationship Id="rId2" Type="http://schemas.openxmlformats.org/officeDocument/2006/relationships/hyperlink" Target="https://twitter.com/GizayDulkadir/status/1418227725052039172" TargetMode="External"/><Relationship Id="rId1" Type="http://schemas.openxmlformats.org/officeDocument/2006/relationships/hyperlink" Target="http://hudoc.echr.coe.int/eng?i=001-211233"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6372</Characters>
  <Application>Microsoft Office Word</Application>
  <DocSecurity>0</DocSecurity>
  <Lines>53</Lines>
  <Paragraphs>14</Paragraphs>
  <ScaleCrop>false</ScaleCrop>
  <Company/>
  <LinksUpToDate>false</LinksUpToDate>
  <CharactersWithSpaces>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1</cp:revision>
  <dcterms:created xsi:type="dcterms:W3CDTF">2021-07-26T19:06:00Z</dcterms:created>
  <dcterms:modified xsi:type="dcterms:W3CDTF">2021-07-26T19:06:00Z</dcterms:modified>
</cp:coreProperties>
</file>