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7436" w14:textId="77777777" w:rsidR="008E375D" w:rsidRPr="000B1BE9" w:rsidRDefault="008E375D" w:rsidP="000B1BE9">
      <w:pPr>
        <w:ind w:firstLine="567"/>
        <w:rPr>
          <w:rFonts w:ascii="Palatino Linotype" w:hAnsi="Palatino Linotype"/>
        </w:rPr>
      </w:pPr>
      <w:r w:rsidRPr="000B1BE9">
        <w:rPr>
          <w:rFonts w:ascii="Palatino Linotype" w:hAnsi="Palatino Linotype"/>
        </w:rPr>
        <w:t xml:space="preserve">               </w:t>
      </w:r>
    </w:p>
    <w:p w14:paraId="56AB2424" w14:textId="77777777" w:rsidR="008E375D" w:rsidRPr="000B1BE9" w:rsidRDefault="008E375D" w:rsidP="000B1BE9">
      <w:pPr>
        <w:ind w:firstLine="567"/>
        <w:rPr>
          <w:rFonts w:ascii="Palatino Linotype" w:hAnsi="Palatino Linotype"/>
        </w:rPr>
      </w:pPr>
    </w:p>
    <w:p w14:paraId="7E9661D3" w14:textId="23E1957E" w:rsidR="008E375D" w:rsidRPr="000B1BE9" w:rsidRDefault="008E375D" w:rsidP="000B1BE9">
      <w:pPr>
        <w:ind w:firstLine="567"/>
        <w:jc w:val="center"/>
        <w:rPr>
          <w:rFonts w:ascii="Palatino Linotype" w:hAnsi="Palatino Linotype" w:cs="Times New Roman"/>
          <w:b/>
        </w:rPr>
      </w:pPr>
      <w:r w:rsidRPr="000B1BE9">
        <w:rPr>
          <w:rFonts w:ascii="Palatino Linotype" w:hAnsi="Palatino Linotype" w:cs="Times New Roman"/>
          <w:b/>
        </w:rPr>
        <w:t>.....    . AĞIR CEZA MAHKEMESİNE</w:t>
      </w:r>
    </w:p>
    <w:p w14:paraId="6A33D94E" w14:textId="2030BF65" w:rsidR="008E375D" w:rsidRPr="000B1BE9" w:rsidRDefault="008E375D" w:rsidP="000B1BE9">
      <w:pPr>
        <w:ind w:firstLine="567"/>
        <w:jc w:val="center"/>
        <w:rPr>
          <w:rFonts w:ascii="Palatino Linotype" w:hAnsi="Palatino Linotype" w:cs="Times New Roman"/>
          <w:b/>
        </w:rPr>
      </w:pPr>
      <w:r w:rsidRPr="000B1BE9">
        <w:rPr>
          <w:rFonts w:ascii="Palatino Linotype" w:hAnsi="Palatino Linotype" w:cs="Times New Roman"/>
          <w:b/>
        </w:rPr>
        <w:t>....... CUMHURİYET BAŞSAVCILIĞINA</w:t>
      </w:r>
    </w:p>
    <w:p w14:paraId="622476B3" w14:textId="77777777" w:rsidR="008E375D" w:rsidRPr="000B1BE9" w:rsidRDefault="00A24089" w:rsidP="000B1BE9">
      <w:pPr>
        <w:ind w:firstLine="567"/>
        <w:jc w:val="center"/>
        <w:rPr>
          <w:rFonts w:ascii="Palatino Linotype" w:hAnsi="Palatino Linotype" w:cs="Times New Roman"/>
          <w:b/>
        </w:rPr>
      </w:pPr>
      <w:r w:rsidRPr="000B1BE9">
        <w:rPr>
          <w:rFonts w:ascii="Palatino Linotype" w:hAnsi="Palatino Linotype" w:cs="Times New Roman"/>
          <w:b/>
        </w:rPr>
        <w:t xml:space="preserve">........         </w:t>
      </w:r>
      <w:r w:rsidR="008E375D" w:rsidRPr="000B1BE9">
        <w:rPr>
          <w:rFonts w:ascii="Palatino Linotype" w:hAnsi="Palatino Linotype" w:cs="Times New Roman"/>
          <w:b/>
        </w:rPr>
        <w:t xml:space="preserve"> İNFAZ HAKİMLİĞİNE</w:t>
      </w:r>
    </w:p>
    <w:p w14:paraId="2BEAAA6A" w14:textId="77777777" w:rsidR="008E375D" w:rsidRPr="000B1BE9" w:rsidRDefault="008E375D" w:rsidP="000B1BE9">
      <w:pPr>
        <w:ind w:firstLine="567"/>
        <w:rPr>
          <w:rFonts w:ascii="Palatino Linotype" w:hAnsi="Palatino Linotype" w:cs="Times New Roman"/>
        </w:rPr>
      </w:pPr>
    </w:p>
    <w:p w14:paraId="747CCC08" w14:textId="5FEF06D5" w:rsidR="000B1BE9" w:rsidRDefault="008E375D" w:rsidP="000B1BE9">
      <w:pPr>
        <w:ind w:firstLine="567"/>
        <w:jc w:val="both"/>
        <w:rPr>
          <w:rFonts w:ascii="Palatino Linotype" w:hAnsi="Palatino Linotype" w:cs="Times New Roman"/>
        </w:rPr>
      </w:pPr>
      <w:r w:rsidRPr="000B1BE9">
        <w:rPr>
          <w:rFonts w:ascii="Palatino Linotype" w:hAnsi="Palatino Linotype" w:cs="Times New Roman"/>
          <w:b/>
        </w:rPr>
        <w:t>DOSYA NO</w:t>
      </w:r>
      <w:r w:rsidRPr="000B1BE9">
        <w:rPr>
          <w:rFonts w:ascii="Palatino Linotype" w:hAnsi="Palatino Linotype" w:cs="Times New Roman"/>
        </w:rPr>
        <w:t xml:space="preserve">                        :  </w:t>
      </w:r>
      <w:r w:rsidR="000B1BE9">
        <w:rPr>
          <w:rFonts w:ascii="Palatino Linotype" w:hAnsi="Palatino Linotype" w:cs="Times New Roman"/>
        </w:rPr>
        <w:t>……</w:t>
      </w:r>
      <w:r w:rsidRPr="000B1BE9">
        <w:rPr>
          <w:rFonts w:ascii="Palatino Linotype" w:hAnsi="Palatino Linotype" w:cs="Times New Roman"/>
        </w:rPr>
        <w:t>/</w:t>
      </w:r>
      <w:r w:rsidR="000B1BE9">
        <w:rPr>
          <w:rFonts w:ascii="Palatino Linotype" w:hAnsi="Palatino Linotype" w:cs="Times New Roman"/>
        </w:rPr>
        <w:t>…..</w:t>
      </w:r>
    </w:p>
    <w:p w14:paraId="6FE60772" w14:textId="77777777" w:rsidR="000B1BE9" w:rsidRDefault="000B1BE9" w:rsidP="000B1BE9">
      <w:pPr>
        <w:ind w:firstLine="567"/>
        <w:jc w:val="both"/>
        <w:rPr>
          <w:rFonts w:ascii="Palatino Linotype" w:hAnsi="Palatino Linotype" w:cs="Times New Roman"/>
        </w:rPr>
      </w:pPr>
    </w:p>
    <w:p w14:paraId="1E474846" w14:textId="66B89A18" w:rsidR="000B1BE9" w:rsidRPr="000B1BE9" w:rsidRDefault="000B1BE9" w:rsidP="000B1BE9">
      <w:pPr>
        <w:ind w:firstLine="567"/>
        <w:jc w:val="both"/>
        <w:rPr>
          <w:rFonts w:ascii="Palatino Linotype" w:hAnsi="Palatino Linotype" w:cs="Times New Roman"/>
          <w:b/>
          <w:bCs/>
        </w:rPr>
      </w:pPr>
      <w:r w:rsidRPr="000B1BE9">
        <w:rPr>
          <w:rFonts w:ascii="Palatino Linotype" w:hAnsi="Palatino Linotype" w:cs="Times New Roman"/>
          <w:b/>
          <w:bCs/>
        </w:rPr>
        <w:t>HÜKÜMLÜ/TUTUKLU    :</w:t>
      </w:r>
    </w:p>
    <w:p w14:paraId="52FC8A52" w14:textId="77777777" w:rsidR="000B1BE9" w:rsidRDefault="000B1BE9" w:rsidP="000B1BE9">
      <w:pPr>
        <w:ind w:firstLine="567"/>
        <w:jc w:val="both"/>
        <w:rPr>
          <w:rFonts w:ascii="Palatino Linotype" w:hAnsi="Palatino Linotype" w:cs="Times New Roman"/>
        </w:rPr>
      </w:pPr>
    </w:p>
    <w:p w14:paraId="6D55B78C" w14:textId="67835148" w:rsidR="000B1BE9" w:rsidRDefault="008E375D" w:rsidP="000B1BE9">
      <w:pPr>
        <w:ind w:left="3159" w:hanging="2592"/>
        <w:jc w:val="both"/>
        <w:rPr>
          <w:rFonts w:ascii="Palatino Linotype" w:hAnsi="Palatino Linotype" w:cs="Times New Roman"/>
          <w:b/>
        </w:rPr>
      </w:pPr>
      <w:r w:rsidRPr="000B1BE9">
        <w:rPr>
          <w:rFonts w:ascii="Palatino Linotype" w:hAnsi="Palatino Linotype" w:cs="Times New Roman"/>
          <w:b/>
        </w:rPr>
        <w:t xml:space="preserve">KONU                   </w:t>
      </w:r>
      <w:r w:rsidR="000B1BE9">
        <w:rPr>
          <w:rFonts w:ascii="Palatino Linotype" w:hAnsi="Palatino Linotype" w:cs="Times New Roman"/>
          <w:b/>
        </w:rPr>
        <w:tab/>
        <w:t>: Ağır Hastalık/Hastalık Sebebiyle Cezaevinde Bulunan Müvekkilimizin Tahliyesi/İnfazın Geri Bırakılması Talebi</w:t>
      </w:r>
    </w:p>
    <w:p w14:paraId="59F12E49" w14:textId="77777777" w:rsidR="008E375D" w:rsidRPr="000B1BE9" w:rsidRDefault="008E375D" w:rsidP="000B1BE9">
      <w:pPr>
        <w:ind w:firstLine="567"/>
        <w:jc w:val="both"/>
        <w:rPr>
          <w:rFonts w:ascii="Palatino Linotype" w:hAnsi="Palatino Linotype" w:cs="Times New Roman"/>
        </w:rPr>
      </w:pPr>
    </w:p>
    <w:p w14:paraId="14899425" w14:textId="72AC3747" w:rsidR="008E375D" w:rsidRPr="000B1BE9" w:rsidRDefault="008E375D" w:rsidP="000B1BE9">
      <w:pPr>
        <w:ind w:firstLine="567"/>
        <w:jc w:val="center"/>
        <w:rPr>
          <w:rFonts w:ascii="Palatino Linotype" w:hAnsi="Palatino Linotype" w:cs="Times New Roman"/>
          <w:u w:val="single"/>
        </w:rPr>
      </w:pPr>
      <w:r w:rsidRPr="000B1BE9">
        <w:rPr>
          <w:rFonts w:ascii="Palatino Linotype" w:hAnsi="Palatino Linotype" w:cs="Times New Roman"/>
          <w:b/>
          <w:u w:val="single"/>
        </w:rPr>
        <w:t xml:space="preserve">AÇIKLAMALAR   </w:t>
      </w:r>
      <w:r w:rsidRPr="000B1BE9">
        <w:rPr>
          <w:rFonts w:ascii="Palatino Linotype" w:hAnsi="Palatino Linotype" w:cs="Times New Roman"/>
          <w:u w:val="single"/>
        </w:rPr>
        <w:t xml:space="preserve">              </w:t>
      </w:r>
    </w:p>
    <w:p w14:paraId="7D04F8F3" w14:textId="77777777" w:rsidR="008E375D" w:rsidRPr="000B1BE9" w:rsidRDefault="008E375D" w:rsidP="000B1BE9">
      <w:pPr>
        <w:ind w:firstLine="567"/>
        <w:jc w:val="both"/>
        <w:rPr>
          <w:rFonts w:ascii="Palatino Linotype" w:hAnsi="Palatino Linotype" w:cs="Times New Roman"/>
        </w:rPr>
      </w:pPr>
    </w:p>
    <w:p w14:paraId="42CF743E" w14:textId="638DB2F9" w:rsidR="008E375D" w:rsidRPr="000B1BE9" w:rsidRDefault="000259D2" w:rsidP="000B1BE9">
      <w:pPr>
        <w:ind w:firstLine="567"/>
        <w:jc w:val="both"/>
        <w:rPr>
          <w:rFonts w:ascii="Palatino Linotype" w:hAnsi="Palatino Linotype" w:cs="Times New Roman"/>
        </w:rPr>
      </w:pPr>
      <w:r w:rsidRPr="000B1BE9">
        <w:rPr>
          <w:rFonts w:ascii="Palatino Linotype" w:hAnsi="Palatino Linotype" w:cs="Times New Roman"/>
        </w:rPr>
        <w:t>Avrupa İnsan Hakları Sözleşmesi’nin</w:t>
      </w:r>
      <w:r w:rsidR="003970ED" w:rsidRPr="000B1BE9">
        <w:rPr>
          <w:rFonts w:ascii="Palatino Linotype" w:hAnsi="Palatino Linotype" w:cs="Times New Roman"/>
        </w:rPr>
        <w:t xml:space="preserve"> (AİHS)</w:t>
      </w:r>
      <w:r w:rsidRPr="000B1BE9">
        <w:rPr>
          <w:rFonts w:ascii="Palatino Linotype" w:hAnsi="Palatino Linotype" w:cs="Times New Roman"/>
        </w:rPr>
        <w:t xml:space="preserve"> 3. maddesi uyarınca, Devlet, bir kişinin insan onuruyla bağdaşan koşullarda alıkonmasını, tedbirin infazına yönelik yol ve yöntemin kişiyi, alıkonmanın doğasında kaçınılmaz olarak bulunan sıkıntı düzeyini aşacak yoğunlukta </w:t>
      </w:r>
      <w:r w:rsidR="00697A61" w:rsidRPr="000B1BE9">
        <w:rPr>
          <w:rFonts w:ascii="Palatino Linotype" w:hAnsi="Palatino Linotype" w:cs="Times New Roman"/>
        </w:rPr>
        <w:t>ıstırap</w:t>
      </w:r>
      <w:r w:rsidRPr="000B1BE9">
        <w:rPr>
          <w:rFonts w:ascii="Palatino Linotype" w:hAnsi="Palatino Linotype" w:cs="Times New Roman"/>
        </w:rPr>
        <w:t xml:space="preserve"> ve zorluğa maruz bırakmamasını, infazın pratik gerekliliklerini dikkate alarak, diğer şeylerin yanı sıra kişiye gerekli tıbbi yardımı sağlamak suretiyle, sağlık ve refahının yeterince sağlandığını güvence altına almakla yükümlüdür.</w:t>
      </w:r>
      <w:r w:rsidR="003970ED" w:rsidRPr="000B1BE9">
        <w:rPr>
          <w:rStyle w:val="DipnotBavurusu"/>
          <w:rFonts w:ascii="Palatino Linotype" w:hAnsi="Palatino Linotype" w:cs="Times New Roman"/>
          <w:vertAlign w:val="superscript"/>
        </w:rPr>
        <w:footnoteReference w:id="1"/>
      </w:r>
      <w:r w:rsidRPr="000B1BE9">
        <w:rPr>
          <w:rFonts w:ascii="Palatino Linotype" w:hAnsi="Palatino Linotype" w:cs="Times New Roman"/>
          <w:vertAlign w:val="superscript"/>
        </w:rPr>
        <w:t xml:space="preserve"> </w:t>
      </w:r>
    </w:p>
    <w:p w14:paraId="2BAB5301" w14:textId="77777777" w:rsidR="000259D2" w:rsidRPr="000B1BE9" w:rsidRDefault="000259D2" w:rsidP="000B1BE9">
      <w:pPr>
        <w:ind w:firstLine="567"/>
        <w:jc w:val="both"/>
        <w:rPr>
          <w:rFonts w:ascii="Palatino Linotype" w:hAnsi="Palatino Linotype" w:cs="Times New Roman"/>
        </w:rPr>
      </w:pPr>
      <w:r w:rsidRPr="000B1BE9">
        <w:rPr>
          <w:rFonts w:ascii="Palatino Linotype" w:hAnsi="Palatino Linotype" w:cs="Times New Roman"/>
        </w:rPr>
        <w:t>Özellikle Fiziksel Hastalığı Bulunan Tutuklu/Hükümlülere Yönelik Tıbbi Yardım konusuna ilişkin olarak;</w:t>
      </w:r>
    </w:p>
    <w:p w14:paraId="669C1717" w14:textId="0EFB9A83" w:rsidR="008E375D" w:rsidRPr="000B1BE9" w:rsidRDefault="00A24089" w:rsidP="000B1BE9">
      <w:pPr>
        <w:ind w:firstLine="567"/>
        <w:jc w:val="both"/>
        <w:rPr>
          <w:rFonts w:ascii="Palatino Linotype" w:hAnsi="Palatino Linotype" w:cs="Times New Roman"/>
        </w:rPr>
      </w:pPr>
      <w:r w:rsidRPr="000B1BE9">
        <w:rPr>
          <w:rFonts w:ascii="Palatino Linotype" w:hAnsi="Palatino Linotype" w:cs="Times New Roman"/>
        </w:rPr>
        <w:t>Yerleşik AİHM içtihatlarına göre cezaevinde gerekli t</w:t>
      </w:r>
      <w:r w:rsidR="008E375D" w:rsidRPr="000B1BE9">
        <w:rPr>
          <w:rFonts w:ascii="Palatino Linotype" w:hAnsi="Palatino Linotype" w:cs="Times New Roman"/>
        </w:rPr>
        <w:t>ıbbi imkanların sağlanmaması 3. madde bağlamında aşağılayıcı muameledir</w:t>
      </w:r>
      <w:r w:rsidRPr="000B1BE9">
        <w:rPr>
          <w:rFonts w:ascii="Palatino Linotype" w:hAnsi="Palatino Linotype" w:cs="Times New Roman"/>
        </w:rPr>
        <w:t>.</w:t>
      </w:r>
      <w:r w:rsidR="003970ED" w:rsidRPr="000B1BE9">
        <w:rPr>
          <w:rStyle w:val="DipnotBavurusu"/>
          <w:rFonts w:ascii="Palatino Linotype" w:hAnsi="Palatino Linotype" w:cs="Times New Roman"/>
          <w:vertAlign w:val="superscript"/>
        </w:rPr>
        <w:footnoteReference w:id="2"/>
      </w:r>
    </w:p>
    <w:p w14:paraId="0D2EC35F" w14:textId="1CBB2902" w:rsidR="00A24089" w:rsidRPr="000B1BE9" w:rsidRDefault="000259D2" w:rsidP="000B1BE9">
      <w:pPr>
        <w:ind w:firstLine="567"/>
        <w:jc w:val="both"/>
        <w:rPr>
          <w:rFonts w:ascii="Palatino Linotype" w:hAnsi="Palatino Linotype" w:cs="Times New Roman"/>
        </w:rPr>
      </w:pPr>
      <w:r w:rsidRPr="000B1BE9">
        <w:rPr>
          <w:rFonts w:ascii="Palatino Linotype" w:hAnsi="Palatino Linotype" w:cs="Times New Roman"/>
        </w:rPr>
        <w:t xml:space="preserve">Bu konuya ilişkin </w:t>
      </w:r>
      <w:r w:rsidR="00A24089" w:rsidRPr="000B1BE9">
        <w:rPr>
          <w:rFonts w:ascii="Palatino Linotype" w:hAnsi="Palatino Linotype" w:cs="Times New Roman"/>
        </w:rPr>
        <w:t xml:space="preserve">AİHM </w:t>
      </w:r>
      <w:r w:rsidRPr="000B1BE9">
        <w:rPr>
          <w:rFonts w:ascii="Palatino Linotype" w:hAnsi="Palatino Linotype" w:cs="Times New Roman"/>
        </w:rPr>
        <w:t xml:space="preserve">Mouisel/Fransa </w:t>
      </w:r>
      <w:r w:rsidR="000B1BE9">
        <w:rPr>
          <w:rFonts w:ascii="Palatino Linotype" w:hAnsi="Palatino Linotype" w:cs="Times New Roman"/>
        </w:rPr>
        <w:t>kararında</w:t>
      </w:r>
      <w:r w:rsidR="00697A61" w:rsidRPr="000B1BE9">
        <w:rPr>
          <w:rFonts w:ascii="Palatino Linotype" w:hAnsi="Palatino Linotype" w:cs="Times New Roman"/>
        </w:rPr>
        <w:t>;</w:t>
      </w:r>
      <w:r w:rsidR="003970ED" w:rsidRPr="000B1BE9">
        <w:rPr>
          <w:rStyle w:val="DipnotBavurusu"/>
          <w:rFonts w:ascii="Palatino Linotype" w:hAnsi="Palatino Linotype" w:cs="Times New Roman"/>
          <w:vertAlign w:val="superscript"/>
        </w:rPr>
        <w:footnoteReference w:id="3"/>
      </w:r>
      <w:r w:rsidR="00697A61" w:rsidRPr="000B1BE9">
        <w:rPr>
          <w:rFonts w:ascii="Palatino Linotype" w:hAnsi="Palatino Linotype" w:cs="Times New Roman"/>
        </w:rPr>
        <w:t xml:space="preserve"> </w:t>
      </w:r>
      <w:r w:rsidRPr="000B1BE9">
        <w:rPr>
          <w:rFonts w:ascii="Palatino Linotype" w:hAnsi="Palatino Linotype" w:cs="Times New Roman"/>
        </w:rPr>
        <w:t xml:space="preserve">özellikle hastalığının ilerlemesinden dolayı başvuranın durumunun devam eden tutukluluğu açısından giderek daha da uygunsuz olmasına rağmen, cezaevi yetkililerinin herhangi bir özel tedbir almadığını belirterek, başvuranın şartlı tahliyesine kadar geçen süre bakımından Sözleşme’nin 3. maddesinin (insanlık dışı ya da aşağılayıcı muamele yasağı) ihlal edildiğine karar vermiştir. </w:t>
      </w:r>
    </w:p>
    <w:p w14:paraId="5609CA35" w14:textId="0C3E7CB9" w:rsidR="000259D2" w:rsidRPr="000B1BE9" w:rsidRDefault="000259D2" w:rsidP="000B1BE9">
      <w:pPr>
        <w:ind w:firstLine="567"/>
        <w:jc w:val="both"/>
        <w:rPr>
          <w:rFonts w:ascii="Palatino Linotype" w:hAnsi="Palatino Linotype" w:cs="Times New Roman"/>
        </w:rPr>
      </w:pPr>
      <w:r w:rsidRPr="000B1BE9">
        <w:rPr>
          <w:rFonts w:ascii="Palatino Linotype" w:hAnsi="Palatino Linotype" w:cs="Times New Roman"/>
        </w:rPr>
        <w:lastRenderedPageBreak/>
        <w:t>Cezaevinde Tıbbi müdahale şartlarına ilişkin bir diğer karar olan Serifis/Yunanistan</w:t>
      </w:r>
      <w:r w:rsidR="003970ED" w:rsidRPr="000B1BE9">
        <w:rPr>
          <w:rFonts w:ascii="Palatino Linotype" w:hAnsi="Palatino Linotype" w:cs="Times New Roman"/>
        </w:rPr>
        <w:t xml:space="preserve"> </w:t>
      </w:r>
      <w:r w:rsidRPr="000B1BE9">
        <w:rPr>
          <w:rFonts w:ascii="Palatino Linotype" w:hAnsi="Palatino Linotype" w:cs="Times New Roman"/>
        </w:rPr>
        <w:t>kararında</w:t>
      </w:r>
      <w:r w:rsidR="003970ED" w:rsidRPr="000B1BE9">
        <w:rPr>
          <w:rStyle w:val="DipnotBavurusu"/>
          <w:rFonts w:ascii="Palatino Linotype" w:hAnsi="Palatino Linotype" w:cs="Times New Roman"/>
          <w:vertAlign w:val="superscript"/>
        </w:rPr>
        <w:footnoteReference w:id="4"/>
      </w:r>
      <w:r w:rsidRPr="000B1BE9">
        <w:rPr>
          <w:rFonts w:ascii="Palatino Linotype" w:hAnsi="Palatino Linotype" w:cs="Times New Roman"/>
        </w:rPr>
        <w:t xml:space="preserve"> </w:t>
      </w:r>
      <w:r w:rsidR="003970ED" w:rsidRPr="000B1BE9">
        <w:rPr>
          <w:rFonts w:ascii="Palatino Linotype" w:hAnsi="Palatino Linotype" w:cs="Times New Roman"/>
        </w:rPr>
        <w:t>b</w:t>
      </w:r>
      <w:r w:rsidRPr="000B1BE9">
        <w:rPr>
          <w:rFonts w:ascii="Palatino Linotype" w:hAnsi="Palatino Linotype" w:cs="Times New Roman"/>
        </w:rPr>
        <w:t>aşvuran</w:t>
      </w:r>
      <w:r w:rsidR="003970ED" w:rsidRPr="000B1BE9">
        <w:rPr>
          <w:rFonts w:ascii="Palatino Linotype" w:hAnsi="Palatino Linotype" w:cs="Times New Roman"/>
        </w:rPr>
        <w:t>,</w:t>
      </w:r>
      <w:r w:rsidRPr="000B1BE9">
        <w:rPr>
          <w:rFonts w:ascii="Palatino Linotype" w:hAnsi="Palatino Linotype" w:cs="Times New Roman"/>
        </w:rPr>
        <w:t xml:space="preserve"> sağlık durumu </w:t>
      </w:r>
      <w:r w:rsidR="003970ED" w:rsidRPr="000B1BE9">
        <w:rPr>
          <w:rFonts w:ascii="Palatino Linotype" w:hAnsi="Palatino Linotype" w:cs="Times New Roman"/>
        </w:rPr>
        <w:t>(</w:t>
      </w:r>
      <w:r w:rsidRPr="000B1BE9">
        <w:rPr>
          <w:rFonts w:ascii="Palatino Linotype" w:hAnsi="Palatino Linotype" w:cs="Times New Roman"/>
        </w:rPr>
        <w:t>sol eli trafik kazası nedeniyle felç olmuştu ve ayrıca multipl</w:t>
      </w:r>
      <w:r w:rsidR="00651668">
        <w:rPr>
          <w:rFonts w:ascii="Palatino Linotype" w:hAnsi="Palatino Linotype" w:cs="Times New Roman"/>
        </w:rPr>
        <w:t xml:space="preserve">e </w:t>
      </w:r>
      <w:r w:rsidRPr="000B1BE9">
        <w:rPr>
          <w:rFonts w:ascii="Palatino Linotype" w:hAnsi="Palatino Linotype" w:cs="Times New Roman"/>
        </w:rPr>
        <w:t>sklerozu bulunmaktaydı</w:t>
      </w:r>
      <w:r w:rsidR="003970ED" w:rsidRPr="000B1BE9">
        <w:rPr>
          <w:rFonts w:ascii="Palatino Linotype" w:hAnsi="Palatino Linotype" w:cs="Times New Roman"/>
        </w:rPr>
        <w:t>)</w:t>
      </w:r>
      <w:r w:rsidRPr="000B1BE9">
        <w:rPr>
          <w:rFonts w:ascii="Palatino Linotype" w:hAnsi="Palatino Linotype" w:cs="Times New Roman"/>
        </w:rPr>
        <w:t xml:space="preserve"> dikkate alındığında, devam eden tutukluluk durumunun insanlık dışı muamele olduğunu iddia etmiştir. </w:t>
      </w:r>
      <w:r w:rsidR="000B1BE9">
        <w:rPr>
          <w:rFonts w:ascii="Palatino Linotype" w:hAnsi="Palatino Linotype" w:cs="Times New Roman"/>
        </w:rPr>
        <w:t>AİHM</w:t>
      </w:r>
      <w:r w:rsidRPr="000B1BE9">
        <w:rPr>
          <w:rFonts w:ascii="Palatino Linotype" w:hAnsi="Palatino Linotype" w:cs="Times New Roman"/>
        </w:rPr>
        <w:t>, Sözleşme’nin 3. maddesinin (insanlık dışı ya da aşağılayıcı muamele yasağı) ihlal edildiğine karar vermiştir. Mahkeme, başvuranın hastalığının ciddiyetine rağmen, Yunan yetkililerin başvuranın tutukluluğu esnasında esas ihtiyaçlarını karşılayacak tıbbi yardım türünü kendisine sağlamayı geciktirdiklerinin dava dosyasında açık bir şekilde görüldüğünü belirterek, yetkililerin başvuranın cezaevinde bulunduğu ilk iki yıl süresince kendisinin sağlığıyla ilgilenme yönteminin, başvuranı tutukluluğun doğasında var olan kaçınılmaz ıstırap düzeyini aşacak yoğunlukta bir sıkıntı veya zorluğa maruz bıraktığı kanısına varmıştır.</w:t>
      </w:r>
    </w:p>
    <w:p w14:paraId="09015BD2" w14:textId="1D13B000" w:rsidR="000259D2" w:rsidRPr="000B1BE9" w:rsidRDefault="00670819" w:rsidP="000B1BE9">
      <w:pPr>
        <w:ind w:firstLine="567"/>
        <w:jc w:val="both"/>
        <w:rPr>
          <w:rFonts w:ascii="Palatino Linotype" w:hAnsi="Palatino Linotype" w:cs="Times New Roman"/>
        </w:rPr>
      </w:pPr>
      <w:r w:rsidRPr="000B1BE9">
        <w:rPr>
          <w:rFonts w:ascii="Palatino Linotype" w:hAnsi="Palatino Linotype" w:cs="Times New Roman"/>
        </w:rPr>
        <w:t>Testa/Hırvatistan kararında başvurucu</w:t>
      </w:r>
      <w:r w:rsidR="00083800" w:rsidRPr="000B1BE9">
        <w:rPr>
          <w:rFonts w:ascii="Palatino Linotype" w:hAnsi="Palatino Linotype" w:cs="Times New Roman"/>
        </w:rPr>
        <w:t>,</w:t>
      </w:r>
      <w:r w:rsidRPr="000B1BE9">
        <w:rPr>
          <w:rFonts w:ascii="Palatino Linotype" w:hAnsi="Palatino Linotype" w:cs="Times New Roman"/>
        </w:rPr>
        <w:t xml:space="preserve"> AİHM</w:t>
      </w:r>
      <w:r w:rsidR="00A24089" w:rsidRPr="000B1BE9">
        <w:rPr>
          <w:rFonts w:ascii="Palatino Linotype" w:hAnsi="Palatino Linotype" w:cs="Times New Roman"/>
        </w:rPr>
        <w:t>’e başvurara</w:t>
      </w:r>
      <w:r w:rsidRPr="000B1BE9">
        <w:rPr>
          <w:rFonts w:ascii="Palatino Linotype" w:hAnsi="Palatino Linotype" w:cs="Times New Roman"/>
        </w:rPr>
        <w:t>k hapis cezası infaz edilmekte olan ve oldukça yüksek seviyede viremi (kanda virüslerin bulunması) ile birlikte kronik hepatiti (Hepatit C) bulunduğundan, özellikle yeterli tıbbi tedavi ve genel sağlık kontrollerinin sağlanmamasından, yetersiz beslenme düzeninden ve yeterli dinlenme imkânı bulunmamasından şikâyet etmiştir.</w:t>
      </w:r>
      <w:r w:rsidR="000B1BE9">
        <w:rPr>
          <w:rFonts w:ascii="Palatino Linotype" w:hAnsi="Palatino Linotype" w:cs="Times New Roman"/>
        </w:rPr>
        <w:t xml:space="preserve"> AİHM</w:t>
      </w:r>
      <w:r w:rsidRPr="000B1BE9">
        <w:rPr>
          <w:rFonts w:ascii="Palatino Linotype" w:hAnsi="Palatino Linotype" w:cs="Times New Roman"/>
        </w:rPr>
        <w:t>, başvuranın maruz bırakıldığı kötü muamelenin mahiyeti, süresi ve ağırlığının ve sağlığı üzerine bütün olumsuz etkilerinin insanlık dışı ve aşağılayıcı muamele olarak nitelendirilebileceğini dikkate alarak, Sözleşme’nin 3. maddesinin (insanlık dışı ya da aşağılayıcı muamele yasağı) ihlal edildiğine hükmetmiştir. Mahkeme özellikle, başvuranın kronik hepatiti için gerekli olan tıbbi bakım ve yardımın sağlanmaması ile birlikte başvuranın iki yıldan fazla bir süre katlanmak zorunda kaldığı cezaevi koşullarının, başvuranın insanlık onurunu zedelediğini ve başvuranın hislerinde, kendisini küçük düşürebilecek ve itibarını zedeleyebilecek ve muhtemelen fiziksel ve ahlaki direncini kırabilecek manevi acı ve aşağılık duygusunu ortaya çıkardığını tespit etmiştir.</w:t>
      </w:r>
      <w:r w:rsidR="000B1BE9" w:rsidRPr="000B1BE9">
        <w:rPr>
          <w:rStyle w:val="DipnotBavurusu"/>
          <w:rFonts w:ascii="Palatino Linotype" w:hAnsi="Palatino Linotype" w:cs="Times New Roman"/>
          <w:vertAlign w:val="superscript"/>
        </w:rPr>
        <w:t xml:space="preserve"> </w:t>
      </w:r>
      <w:r w:rsidR="000B1BE9" w:rsidRPr="000B1BE9">
        <w:rPr>
          <w:rStyle w:val="DipnotBavurusu"/>
          <w:rFonts w:ascii="Palatino Linotype" w:hAnsi="Palatino Linotype" w:cs="Times New Roman"/>
          <w:vertAlign w:val="superscript"/>
        </w:rPr>
        <w:footnoteReference w:id="5"/>
      </w:r>
    </w:p>
    <w:p w14:paraId="3B334784" w14:textId="5B3120AB" w:rsidR="00083800" w:rsidRPr="000B1BE9" w:rsidRDefault="00670819" w:rsidP="000B1BE9">
      <w:pPr>
        <w:ind w:firstLine="567"/>
        <w:jc w:val="both"/>
        <w:rPr>
          <w:rFonts w:ascii="Palatino Linotype" w:hAnsi="Palatino Linotype" w:cs="Times New Roman"/>
        </w:rPr>
      </w:pPr>
      <w:r w:rsidRPr="000B1BE9">
        <w:rPr>
          <w:rFonts w:ascii="Palatino Linotype" w:hAnsi="Palatino Linotype" w:cs="Times New Roman"/>
        </w:rPr>
        <w:t>Ashot Harutyunyan/Ermenistan</w:t>
      </w:r>
      <w:r w:rsidR="00A24089" w:rsidRPr="000B1BE9">
        <w:rPr>
          <w:rFonts w:ascii="Palatino Linotype" w:hAnsi="Palatino Linotype" w:cs="Times New Roman"/>
        </w:rPr>
        <w:t xml:space="preserve"> </w:t>
      </w:r>
      <w:r w:rsidR="00083800" w:rsidRPr="000B1BE9">
        <w:rPr>
          <w:rFonts w:ascii="Palatino Linotype" w:hAnsi="Palatino Linotype" w:cs="Times New Roman"/>
        </w:rPr>
        <w:t>kararında</w:t>
      </w:r>
      <w:r w:rsidR="00A24089" w:rsidRPr="000B1BE9">
        <w:rPr>
          <w:rFonts w:ascii="Palatino Linotype" w:hAnsi="Palatino Linotype" w:cs="Times New Roman"/>
        </w:rPr>
        <w:t xml:space="preserve"> b</w:t>
      </w:r>
      <w:r w:rsidRPr="000B1BE9">
        <w:rPr>
          <w:rFonts w:ascii="Palatino Linotype" w:hAnsi="Palatino Linotype" w:cs="Times New Roman"/>
        </w:rPr>
        <w:t xml:space="preserve">aşvuran, tutuklanmadan önce akut kanamalı duodenal ülser, diyabet ve kalp rahatsızlığı da dahil olmak üzere bazı rahatsızlıklardan </w:t>
      </w:r>
      <w:r w:rsidR="00083800" w:rsidRPr="000B1BE9">
        <w:rPr>
          <w:rFonts w:ascii="Palatino Linotype" w:hAnsi="Palatino Linotype" w:cs="Times New Roman"/>
        </w:rPr>
        <w:t>mustaripti</w:t>
      </w:r>
      <w:r w:rsidR="000B1BE9">
        <w:rPr>
          <w:rFonts w:ascii="Palatino Linotype" w:hAnsi="Palatino Linotype" w:cs="Times New Roman"/>
        </w:rPr>
        <w:t>r</w:t>
      </w:r>
      <w:r w:rsidRPr="000B1BE9">
        <w:rPr>
          <w:rFonts w:ascii="Palatino Linotype" w:hAnsi="Palatino Linotype" w:cs="Times New Roman"/>
        </w:rPr>
        <w:t>. Başvuran özellikle tutukluluğu döneminde yeterli tıbbi bakım alamadığı konusunda şikâyette bulunmuştur.</w:t>
      </w:r>
      <w:r w:rsidR="00083800" w:rsidRPr="000B1BE9">
        <w:rPr>
          <w:rFonts w:ascii="Palatino Linotype" w:hAnsi="Palatino Linotype" w:cs="Times New Roman"/>
        </w:rPr>
        <w:t xml:space="preserve"> AİHM</w:t>
      </w:r>
      <w:r w:rsidRPr="000B1BE9">
        <w:rPr>
          <w:rFonts w:ascii="Palatino Linotype" w:hAnsi="Palatino Linotype" w:cs="Times New Roman"/>
        </w:rPr>
        <w:t xml:space="preserve">, Sözleşme’nin 3. maddesinin (insanlık dışı ya da aşağılayıcı muamele yasağı) ihlal edildiğine karar vermiştir. </w:t>
      </w:r>
    </w:p>
    <w:p w14:paraId="0083BB1F" w14:textId="5630A592" w:rsidR="00670819" w:rsidRPr="000B1BE9" w:rsidRDefault="00083800" w:rsidP="000B1BE9">
      <w:pPr>
        <w:ind w:firstLine="567"/>
        <w:jc w:val="both"/>
        <w:rPr>
          <w:rFonts w:ascii="Palatino Linotype" w:hAnsi="Palatino Linotype" w:cs="Times New Roman"/>
        </w:rPr>
      </w:pPr>
      <w:r w:rsidRPr="000B1BE9">
        <w:rPr>
          <w:rFonts w:ascii="Palatino Linotype" w:hAnsi="Palatino Linotype" w:cs="Times New Roman"/>
        </w:rPr>
        <w:t xml:space="preserve">AİHM </w:t>
      </w:r>
      <w:r w:rsidR="00670819" w:rsidRPr="000B1BE9">
        <w:rPr>
          <w:rFonts w:ascii="Palatino Linotype" w:hAnsi="Palatino Linotype" w:cs="Times New Roman"/>
        </w:rPr>
        <w:t xml:space="preserve">özellikle, başvuranın </w:t>
      </w:r>
      <w:r w:rsidR="00697A61" w:rsidRPr="000B1BE9">
        <w:rPr>
          <w:rFonts w:ascii="Palatino Linotype" w:hAnsi="Palatino Linotype" w:cs="Times New Roman"/>
        </w:rPr>
        <w:t>mustarip</w:t>
      </w:r>
      <w:r w:rsidR="00670819" w:rsidRPr="000B1BE9">
        <w:rPr>
          <w:rFonts w:ascii="Palatino Linotype" w:hAnsi="Palatino Linotype" w:cs="Times New Roman"/>
        </w:rPr>
        <w:t xml:space="preserve"> olduğu ciddi rahatsızlıklar göz önünde bulundurulduğunda, düzenli bakım ve gözetime ihtiyaç duyduğunun açık olduğunu kaydetmiştir. </w:t>
      </w:r>
      <w:r w:rsidR="000B1BE9">
        <w:rPr>
          <w:rFonts w:ascii="Palatino Linotype" w:hAnsi="Palatino Linotype" w:cs="Times New Roman"/>
        </w:rPr>
        <w:t>Başvuranın tıbbi dosyasında;</w:t>
      </w:r>
      <w:r w:rsidR="00670819" w:rsidRPr="000B1BE9">
        <w:rPr>
          <w:rFonts w:ascii="Palatino Linotype" w:hAnsi="Palatino Linotype" w:cs="Times New Roman"/>
        </w:rPr>
        <w:t xml:space="preserve"> doktorları tarafından tavsiye edilen ameliyatın gerçekleştirildiğini ortaya koyan herhangi bir tıbbi kayıt bulunma</w:t>
      </w:r>
      <w:r w:rsidR="000B1BE9">
        <w:rPr>
          <w:rFonts w:ascii="Palatino Linotype" w:hAnsi="Palatino Linotype" w:cs="Times New Roman"/>
        </w:rPr>
        <w:t>dığı gibi</w:t>
      </w:r>
      <w:r w:rsidR="00670819" w:rsidRPr="000B1BE9">
        <w:rPr>
          <w:rFonts w:ascii="Palatino Linotype" w:hAnsi="Palatino Linotype" w:cs="Times New Roman"/>
        </w:rPr>
        <w:t xml:space="preserve"> tutuklu bulunduğu tesisin sağlık personeli tarafından muayene edildiğini veya yardım aldığını gösteren herhangi bir kayıt bulunmamaktadır. </w:t>
      </w:r>
      <w:r w:rsidR="00361DFE">
        <w:rPr>
          <w:rFonts w:ascii="Palatino Linotype" w:hAnsi="Palatino Linotype" w:cs="Times New Roman"/>
        </w:rPr>
        <w:t>Ayrıca AİHM’e göre, b</w:t>
      </w:r>
      <w:r w:rsidR="00670819" w:rsidRPr="000B1BE9">
        <w:rPr>
          <w:rFonts w:ascii="Palatino Linotype" w:hAnsi="Palatino Linotype" w:cs="Times New Roman"/>
        </w:rPr>
        <w:t xml:space="preserve">aşvuranın 2004 yılının Temmuz ayında geçirdiği kalp krizi </w:t>
      </w:r>
      <w:r w:rsidR="00361DFE">
        <w:rPr>
          <w:rFonts w:ascii="Palatino Linotype" w:hAnsi="Palatino Linotype" w:cs="Times New Roman"/>
        </w:rPr>
        <w:t>ile</w:t>
      </w:r>
      <w:r w:rsidR="00670819" w:rsidRPr="000B1BE9">
        <w:rPr>
          <w:rFonts w:ascii="Palatino Linotype" w:hAnsi="Palatino Linotype" w:cs="Times New Roman"/>
        </w:rPr>
        <w:t xml:space="preserve"> avukatının yetkililerin dikkatini başvuranın tıbbi bakıma ihtiyacı olduğu hususuna çekmeye çalıştığı birkaç başarısız girişim</w:t>
      </w:r>
      <w:r w:rsidR="00361DFE">
        <w:rPr>
          <w:rFonts w:ascii="Palatino Linotype" w:hAnsi="Palatino Linotype" w:cs="Times New Roman"/>
        </w:rPr>
        <w:t>in</w:t>
      </w:r>
      <w:r w:rsidR="00670819" w:rsidRPr="000B1BE9">
        <w:rPr>
          <w:rFonts w:ascii="Palatino Linotype" w:hAnsi="Palatino Linotype" w:cs="Times New Roman"/>
        </w:rPr>
        <w:t xml:space="preserve"> aynı zamana denk </w:t>
      </w:r>
      <w:r w:rsidR="00361DFE">
        <w:rPr>
          <w:rFonts w:ascii="Palatino Linotype" w:hAnsi="Palatino Linotype" w:cs="Times New Roman"/>
        </w:rPr>
        <w:t>gelmesi</w:t>
      </w:r>
      <w:r w:rsidR="00670819" w:rsidRPr="000B1BE9">
        <w:rPr>
          <w:rFonts w:ascii="Palatino Linotype" w:hAnsi="Palatino Linotype" w:cs="Times New Roman"/>
        </w:rPr>
        <w:t xml:space="preserve"> de özellikle endişe vericidir. Mahkeme, her koşulda, tutuklulukta gerekli tıbbi yardımın </w:t>
      </w:r>
      <w:r w:rsidR="00670819" w:rsidRPr="000B1BE9">
        <w:rPr>
          <w:rFonts w:ascii="Palatino Linotype" w:hAnsi="Palatino Linotype" w:cs="Times New Roman"/>
        </w:rPr>
        <w:lastRenderedPageBreak/>
        <w:t>sağlanmamasının, tıbbi tehlikeye veya ağır ve uzun süreli ağrıya yol açmasa bile Sözleşme’nin 3. maddesiyle bağdaşmadığını belirtmiştir</w:t>
      </w:r>
      <w:r w:rsidR="00A24089" w:rsidRPr="000B1BE9">
        <w:rPr>
          <w:rFonts w:ascii="Palatino Linotype" w:hAnsi="Palatino Linotype" w:cs="Times New Roman"/>
        </w:rPr>
        <w:t>.</w:t>
      </w:r>
      <w:r w:rsidRPr="000B1BE9">
        <w:rPr>
          <w:rStyle w:val="DipnotBavurusu"/>
          <w:rFonts w:ascii="Palatino Linotype" w:hAnsi="Palatino Linotype" w:cs="Times New Roman"/>
          <w:vertAlign w:val="superscript"/>
        </w:rPr>
        <w:footnoteReference w:id="6"/>
      </w:r>
    </w:p>
    <w:p w14:paraId="19CA11A4" w14:textId="2D2AFA2D" w:rsidR="00297C53" w:rsidRPr="000B1BE9" w:rsidRDefault="00297C53" w:rsidP="000B1BE9">
      <w:pPr>
        <w:ind w:firstLine="567"/>
        <w:jc w:val="both"/>
        <w:rPr>
          <w:rFonts w:ascii="Palatino Linotype" w:hAnsi="Palatino Linotype" w:cs="Times New Roman"/>
        </w:rPr>
      </w:pPr>
      <w:r w:rsidRPr="000B1BE9">
        <w:rPr>
          <w:rFonts w:ascii="Palatino Linotype" w:hAnsi="Palatino Linotype" w:cs="Times New Roman"/>
        </w:rPr>
        <w:t xml:space="preserve">Aynı şekilde AİHM, </w:t>
      </w:r>
      <w:r w:rsidRPr="000B1BE9">
        <w:rPr>
          <w:rFonts w:ascii="Palatino Linotype" w:hAnsi="Palatino Linotype"/>
        </w:rPr>
        <w:t>sadece bir kişinin cezaevindeyken şüpheli koşullarda ölmesinin bile devletin bu kişinin yaşam hakkını koruma yükümlülüğünü yerine getirip getirmediği hususunda bir sorun ortaya çıkaracağını belirtmiş</w:t>
      </w:r>
      <w:r w:rsidR="00597A76" w:rsidRPr="000B1BE9">
        <w:rPr>
          <w:rStyle w:val="DipnotBavurusu"/>
          <w:rFonts w:ascii="Palatino Linotype" w:hAnsi="Palatino Linotype"/>
          <w:vertAlign w:val="superscript"/>
        </w:rPr>
        <w:footnoteReference w:id="7"/>
      </w:r>
      <w:r w:rsidRPr="000B1BE9">
        <w:rPr>
          <w:rFonts w:ascii="Palatino Linotype" w:hAnsi="Palatino Linotype"/>
        </w:rPr>
        <w:t xml:space="preserve"> ve Kats ve Diğerleri/Ukrayna kararında da tahliye kararının gecikmesi nedeniyle kişinin vefatı sebebiyle yaşam hakkının ihlaline karar vermiştir.</w:t>
      </w:r>
    </w:p>
    <w:p w14:paraId="103AB313" w14:textId="10455470" w:rsidR="00083800" w:rsidRPr="000B1BE9" w:rsidRDefault="00297C53" w:rsidP="000B1BE9">
      <w:pPr>
        <w:ind w:firstLine="567"/>
        <w:jc w:val="both"/>
        <w:rPr>
          <w:rFonts w:ascii="Palatino Linotype" w:hAnsi="Palatino Linotype"/>
        </w:rPr>
      </w:pPr>
      <w:r w:rsidRPr="000B1BE9">
        <w:rPr>
          <w:rFonts w:ascii="Palatino Linotype" w:hAnsi="Palatino Linotype"/>
        </w:rPr>
        <w:t>Bu karara konu olayda; b</w:t>
      </w:r>
      <w:r w:rsidR="00083800" w:rsidRPr="000B1BE9">
        <w:rPr>
          <w:rFonts w:ascii="Palatino Linotype" w:hAnsi="Palatino Linotype"/>
        </w:rPr>
        <w:t>aşvurucuların</w:t>
      </w:r>
      <w:r w:rsidRPr="000B1BE9">
        <w:rPr>
          <w:rFonts w:ascii="Palatino Linotype" w:hAnsi="Palatino Linotype"/>
        </w:rPr>
        <w:t xml:space="preserve"> yakını tarafından</w:t>
      </w:r>
      <w:r w:rsidR="00083800" w:rsidRPr="000B1BE9">
        <w:rPr>
          <w:rFonts w:ascii="Palatino Linotype" w:hAnsi="Palatino Linotype"/>
        </w:rPr>
        <w:t xml:space="preserve"> durum</w:t>
      </w:r>
      <w:r w:rsidRPr="000B1BE9">
        <w:rPr>
          <w:rFonts w:ascii="Palatino Linotype" w:hAnsi="Palatino Linotype"/>
        </w:rPr>
        <w:t>unun</w:t>
      </w:r>
      <w:r w:rsidR="00083800" w:rsidRPr="000B1BE9">
        <w:rPr>
          <w:rFonts w:ascii="Palatino Linotype" w:hAnsi="Palatino Linotype"/>
        </w:rPr>
        <w:t xml:space="preserve"> kötüleşmeye başlamasından 44 ve 50 gün sonra yapılan tahliye talepleri, sağlığıyla ilgili hususlar üzerinde durulmadan reddedilmiştir. Cezaevi yönetiminin kişinin acilen tahliye edilmesi başvurusundan ancak yedi gün sonra harekete geçilmiş ve tahliye kararı dört günlük bir gecikmeyle verilmiş fakat bu arada kişi vefat etmiştir. </w:t>
      </w:r>
      <w:r w:rsidRPr="000B1BE9">
        <w:rPr>
          <w:rFonts w:ascii="Palatino Linotype" w:hAnsi="Palatino Linotype"/>
        </w:rPr>
        <w:t>AİHM, y</w:t>
      </w:r>
      <w:r w:rsidR="00083800" w:rsidRPr="000B1BE9">
        <w:rPr>
          <w:rFonts w:ascii="Palatino Linotype" w:hAnsi="Palatino Linotype"/>
        </w:rPr>
        <w:t>etkililerin başvurucuların yakının yaşamını korumakta kusur göstermesi nedeniyle yaşam hakkı</w:t>
      </w:r>
      <w:r w:rsidRPr="000B1BE9">
        <w:rPr>
          <w:rFonts w:ascii="Palatino Linotype" w:hAnsi="Palatino Linotype"/>
        </w:rPr>
        <w:t>nın</w:t>
      </w:r>
      <w:r w:rsidR="00083800" w:rsidRPr="000B1BE9">
        <w:rPr>
          <w:rFonts w:ascii="Palatino Linotype" w:hAnsi="Palatino Linotype"/>
        </w:rPr>
        <w:t xml:space="preserve"> ihlal</w:t>
      </w:r>
      <w:r w:rsidRPr="000B1BE9">
        <w:rPr>
          <w:rFonts w:ascii="Palatino Linotype" w:hAnsi="Palatino Linotype"/>
        </w:rPr>
        <w:t>ine karar vermiştir</w:t>
      </w:r>
      <w:r w:rsidR="00083800" w:rsidRPr="000B1BE9">
        <w:rPr>
          <w:rFonts w:ascii="Palatino Linotype" w:hAnsi="Palatino Linotype"/>
        </w:rPr>
        <w:t>.</w:t>
      </w:r>
      <w:r w:rsidR="00597A76" w:rsidRPr="000B1BE9">
        <w:rPr>
          <w:rFonts w:ascii="Palatino Linotype" w:hAnsi="Palatino Linotype"/>
          <w:vertAlign w:val="superscript"/>
        </w:rPr>
        <w:footnoteReference w:id="8"/>
      </w:r>
    </w:p>
    <w:p w14:paraId="5CB75D2B" w14:textId="33516553" w:rsidR="00872512" w:rsidRPr="000B1BE9" w:rsidRDefault="00670819" w:rsidP="000B1BE9">
      <w:pPr>
        <w:ind w:firstLine="567"/>
        <w:jc w:val="both"/>
        <w:rPr>
          <w:rFonts w:ascii="Palatino Linotype" w:hAnsi="Palatino Linotype"/>
          <w:shd w:val="clear" w:color="auto" w:fill="FFFFFF"/>
        </w:rPr>
      </w:pPr>
      <w:r w:rsidRPr="000B1BE9">
        <w:rPr>
          <w:rFonts w:ascii="Palatino Linotype" w:hAnsi="Palatino Linotype" w:cs="Times New Roman"/>
        </w:rPr>
        <w:t xml:space="preserve">Bu örnekler daha da çoğaltılabilir ancak bu kararların altındaki AİHM'in yaklaşımı </w:t>
      </w:r>
      <w:r w:rsidR="00A24089" w:rsidRPr="000B1BE9">
        <w:rPr>
          <w:rFonts w:ascii="Palatino Linotype" w:hAnsi="Palatino Linotype" w:cs="Times New Roman"/>
        </w:rPr>
        <w:t xml:space="preserve">özetle; </w:t>
      </w:r>
      <w:r w:rsidR="008E375D" w:rsidRPr="000B1BE9">
        <w:rPr>
          <w:rFonts w:ascii="Palatino Linotype" w:hAnsi="Palatino Linotype" w:cs="Times New Roman"/>
          <w:b/>
          <w:bCs/>
        </w:rPr>
        <w:t>sağlıklı bir şekilde tutuklu veya hükümlü olarak cezaevine girmiş olan bir kişi sağlığını kaybetmişse bu konuda sorumlu Devlettir.</w:t>
      </w:r>
      <w:r w:rsidRPr="000B1BE9">
        <w:rPr>
          <w:rFonts w:ascii="Palatino Linotype" w:hAnsi="Palatino Linotype" w:cs="Times New Roman"/>
        </w:rPr>
        <w:t xml:space="preserve"> </w:t>
      </w:r>
      <w:r w:rsidR="00872512" w:rsidRPr="000B1BE9">
        <w:rPr>
          <w:rFonts w:ascii="Palatino Linotype" w:hAnsi="Palatino Linotype"/>
          <w:shd w:val="clear" w:color="auto" w:fill="FFFFFF"/>
        </w:rPr>
        <w:t>AİHM’e göre, yaşama hakkını düzenleyen AİHS’in 2. maddesi, devlete sadece kasten ve hukuka aykırı olarak öldürmekten kaçınmayı (negatif yükümlülük) öngörmemektedir. Aynı zamanda, egemenlik alanı içinde bulunan kişilerin yaşamlarını korumak için gerekli tüm tedbirleri almayı (pozitif yükümlülük) da emretmektedir.</w:t>
      </w:r>
      <w:r w:rsidR="00597A76" w:rsidRPr="000B1BE9">
        <w:rPr>
          <w:rStyle w:val="DipnotBavurusu"/>
          <w:rFonts w:ascii="Palatino Linotype" w:hAnsi="Palatino Linotype"/>
          <w:shd w:val="clear" w:color="auto" w:fill="FFFFFF"/>
          <w:vertAlign w:val="superscript"/>
        </w:rPr>
        <w:footnoteReference w:id="9"/>
      </w:r>
      <w:r w:rsidR="00872512" w:rsidRPr="000B1BE9">
        <w:rPr>
          <w:rFonts w:ascii="Palatino Linotype" w:hAnsi="Palatino Linotype"/>
          <w:shd w:val="clear" w:color="auto" w:fill="FFFFFF"/>
        </w:rPr>
        <w:t> Bu bağlamda, devletlerin yaşama hakkının etkin bir şekilde korunmasını sağlamaya yönelik hukuki, idari veya yargısal tedbirler alması, bir zorunluluk olarak ortaya çıkmaktadır.</w:t>
      </w:r>
      <w:r w:rsidR="00597A76" w:rsidRPr="000B1BE9">
        <w:rPr>
          <w:rFonts w:ascii="Palatino Linotype" w:hAnsi="Palatino Linotype"/>
          <w:shd w:val="clear" w:color="auto" w:fill="FFFFFF"/>
        </w:rPr>
        <w:t xml:space="preserve"> </w:t>
      </w:r>
    </w:p>
    <w:p w14:paraId="37A37AA9" w14:textId="35EC21EB" w:rsidR="00872512" w:rsidRPr="000B1BE9" w:rsidRDefault="00872512" w:rsidP="000B1BE9">
      <w:pPr>
        <w:ind w:firstLine="567"/>
        <w:jc w:val="both"/>
        <w:rPr>
          <w:rFonts w:ascii="Palatino Linotype" w:hAnsi="Palatino Linotype" w:cs="Times New Roman"/>
        </w:rPr>
      </w:pPr>
      <w:r w:rsidRPr="000B1BE9">
        <w:rPr>
          <w:rFonts w:ascii="Palatino Linotype" w:hAnsi="Palatino Linotype"/>
          <w:shd w:val="clear" w:color="auto" w:fill="FFFFFF"/>
        </w:rPr>
        <w:t>AİHM’e göre ulusal mevzuat, cezaevi yetkililerine, tutuklu veya hükümlü kişilerle ilgili daha duyarlı ve dikkatli olma görevi yüklemeli, bu kişilerin yaşamlarının tehlikeye atılmasını önleyici tedbirler öngörmelidir. Gözetim ve doktor muayenesi sisteminin yerleştirilmesi gibi yaşama karşı risklerin azaltılmasına yönelik somut önlemlerin alınması gerekmektedir.</w:t>
      </w:r>
      <w:r w:rsidR="00597A76" w:rsidRPr="0025726A">
        <w:rPr>
          <w:rStyle w:val="DipnotBavurusu"/>
          <w:rFonts w:ascii="Palatino Linotype" w:hAnsi="Palatino Linotype"/>
          <w:shd w:val="clear" w:color="auto" w:fill="FFFFFF"/>
          <w:vertAlign w:val="superscript"/>
        </w:rPr>
        <w:footnoteReference w:id="10"/>
      </w:r>
      <w:r w:rsidR="00597A76" w:rsidRPr="0025726A">
        <w:rPr>
          <w:rStyle w:val="DipnotBavurusu"/>
          <w:shd w:val="clear" w:color="auto" w:fill="FFFFFF"/>
          <w:vertAlign w:val="superscript"/>
        </w:rPr>
        <w:t xml:space="preserve"> </w:t>
      </w:r>
    </w:p>
    <w:p w14:paraId="58AE3634" w14:textId="45BB25BC" w:rsidR="008E375D" w:rsidRPr="00361DFE" w:rsidRDefault="00872512" w:rsidP="000B1BE9">
      <w:pPr>
        <w:ind w:firstLine="567"/>
        <w:jc w:val="both"/>
        <w:rPr>
          <w:rFonts w:ascii="Palatino Linotype" w:hAnsi="Palatino Linotype" w:cs="Times New Roman"/>
          <w:b/>
          <w:bCs/>
        </w:rPr>
      </w:pPr>
      <w:r w:rsidRPr="000B1BE9">
        <w:rPr>
          <w:rFonts w:ascii="Palatino Linotype" w:hAnsi="Palatino Linotype" w:cs="Times New Roman"/>
        </w:rPr>
        <w:t xml:space="preserve"> </w:t>
      </w:r>
      <w:r w:rsidR="00670819" w:rsidRPr="00361DFE">
        <w:rPr>
          <w:rFonts w:ascii="Palatino Linotype" w:hAnsi="Palatino Linotype" w:cs="Times New Roman"/>
          <w:b/>
          <w:bCs/>
        </w:rPr>
        <w:t>Sağlıklı olmayan bir kişinin de hastalığının gerektirdiği tüm özen ve ihtimamı göstermeli kurumsal imkanları buna elvermiyorsa kişi tahliye edilmeli veya infazı ertelenmelidir.</w:t>
      </w:r>
    </w:p>
    <w:p w14:paraId="2E624D99" w14:textId="449E15ED" w:rsidR="008E375D" w:rsidRPr="000B1BE9" w:rsidRDefault="008E375D" w:rsidP="000B1BE9">
      <w:pPr>
        <w:ind w:firstLine="567"/>
        <w:jc w:val="both"/>
        <w:rPr>
          <w:rFonts w:ascii="Palatino Linotype" w:hAnsi="Palatino Linotype"/>
        </w:rPr>
      </w:pPr>
      <w:r w:rsidRPr="000B1BE9">
        <w:rPr>
          <w:rFonts w:ascii="Palatino Linotype" w:hAnsi="Palatino Linotype"/>
        </w:rPr>
        <w:t xml:space="preserve">Konu ilgili ulusal mevzuatımız açısından değerlendirildiğinde ise Anayasanın </w:t>
      </w:r>
      <w:r w:rsidR="0089178C" w:rsidRPr="000B1BE9">
        <w:rPr>
          <w:rFonts w:ascii="Palatino Linotype" w:hAnsi="Palatino Linotype"/>
        </w:rPr>
        <w:t>17. maddesinde</w:t>
      </w:r>
      <w:r w:rsidR="00697A61" w:rsidRPr="000B1BE9">
        <w:rPr>
          <w:rFonts w:ascii="Palatino Linotype" w:hAnsi="Palatino Linotype"/>
        </w:rPr>
        <w:t>;</w:t>
      </w:r>
      <w:r w:rsidRPr="000B1BE9">
        <w:rPr>
          <w:rFonts w:ascii="Palatino Linotype" w:hAnsi="Palatino Linotype"/>
        </w:rPr>
        <w:t xml:space="preserve"> </w:t>
      </w:r>
      <w:r w:rsidRPr="000B1BE9">
        <w:rPr>
          <w:rFonts w:ascii="Palatino Linotype" w:hAnsi="Palatino Linotype"/>
          <w:i/>
          <w:iCs/>
        </w:rPr>
        <w:t>“</w:t>
      </w:r>
      <w:r w:rsidR="0089178C" w:rsidRPr="000B1BE9">
        <w:rPr>
          <w:rFonts w:ascii="Palatino Linotype" w:hAnsi="Palatino Linotype"/>
          <w:i/>
          <w:iCs/>
        </w:rPr>
        <w:t xml:space="preserve">Herkes, yaşama, maddî ve manevî varlığını koruma ve geliştirme hakkına sahiptir. </w:t>
      </w:r>
      <w:r w:rsidR="0089178C" w:rsidRPr="000B1BE9">
        <w:rPr>
          <w:rFonts w:ascii="Palatino Linotype" w:hAnsi="Palatino Linotype"/>
          <w:i/>
          <w:iCs/>
        </w:rPr>
        <w:lastRenderedPageBreak/>
        <w:t>Kimseye işkence ve eziyet yapılamaz; kimse insan haysiyetiyle bağdaşmayan bir cezaya veya muameleye tâbi tutulamaz”</w:t>
      </w:r>
      <w:r w:rsidR="0089178C" w:rsidRPr="000B1BE9">
        <w:rPr>
          <w:rFonts w:ascii="Palatino Linotype" w:hAnsi="Palatino Linotype"/>
        </w:rPr>
        <w:t>,</w:t>
      </w:r>
    </w:p>
    <w:p w14:paraId="6D5FD856" w14:textId="0E04062C" w:rsidR="0089178C" w:rsidRPr="000B1BE9" w:rsidRDefault="008E375D" w:rsidP="000B1BE9">
      <w:pPr>
        <w:ind w:firstLine="567"/>
        <w:jc w:val="both"/>
        <w:rPr>
          <w:rFonts w:ascii="Palatino Linotype" w:hAnsi="Palatino Linotype" w:cs="Times New Roman"/>
        </w:rPr>
      </w:pPr>
      <w:r w:rsidRPr="000B1BE9">
        <w:rPr>
          <w:rFonts w:ascii="Palatino Linotype" w:hAnsi="Palatino Linotype" w:cs="Times New Roman"/>
        </w:rPr>
        <w:t xml:space="preserve">5275 sayılı Ceza ve Güvenlik Tedbirlerinin İnfazı Hakkında Kanun'un </w:t>
      </w:r>
      <w:r w:rsidRPr="000B1BE9">
        <w:rPr>
          <w:rFonts w:ascii="Palatino Linotype" w:hAnsi="Palatino Linotype" w:cs="Times New Roman"/>
          <w:i/>
          <w:iCs/>
        </w:rPr>
        <w:t>"Hapis cezalarının infazında gözetilecek ilkeler"</w:t>
      </w:r>
      <w:r w:rsidRPr="000B1BE9">
        <w:rPr>
          <w:rFonts w:ascii="Palatino Linotype" w:hAnsi="Palatino Linotype" w:cs="Times New Roman"/>
        </w:rPr>
        <w:t xml:space="preserve"> başlıklı</w:t>
      </w:r>
      <w:r w:rsidR="00872512" w:rsidRPr="000B1BE9">
        <w:rPr>
          <w:rFonts w:ascii="Palatino Linotype" w:hAnsi="Palatino Linotype" w:cs="Times New Roman"/>
        </w:rPr>
        <w:t xml:space="preserve"> </w:t>
      </w:r>
      <w:r w:rsidRPr="000B1BE9">
        <w:rPr>
          <w:rFonts w:ascii="Palatino Linotype" w:hAnsi="Palatino Linotype" w:cs="Times New Roman"/>
        </w:rPr>
        <w:t>6</w:t>
      </w:r>
      <w:r w:rsidR="00872512" w:rsidRPr="000B1BE9">
        <w:rPr>
          <w:rFonts w:ascii="Palatino Linotype" w:hAnsi="Palatino Linotype" w:cs="Times New Roman"/>
        </w:rPr>
        <w:t>/</w:t>
      </w:r>
      <w:r w:rsidRPr="000B1BE9">
        <w:rPr>
          <w:rFonts w:ascii="Palatino Linotype" w:hAnsi="Palatino Linotype" w:cs="Times New Roman"/>
        </w:rPr>
        <w:t>1.f</w:t>
      </w:r>
      <w:r w:rsidR="00872512" w:rsidRPr="000B1BE9">
        <w:rPr>
          <w:rFonts w:ascii="Palatino Linotype" w:hAnsi="Palatino Linotype" w:cs="Times New Roman"/>
        </w:rPr>
        <w:t xml:space="preserve"> maddesinde; </w:t>
      </w:r>
      <w:r w:rsidRPr="000B1BE9">
        <w:rPr>
          <w:rFonts w:ascii="Palatino Linotype" w:hAnsi="Palatino Linotype" w:cs="Times New Roman"/>
          <w:i/>
          <w:iCs/>
        </w:rPr>
        <w:t>"</w:t>
      </w:r>
      <w:r w:rsidR="00872512" w:rsidRPr="000B1BE9">
        <w:rPr>
          <w:rFonts w:ascii="Palatino Linotype" w:hAnsi="Palatino Linotype" w:cs="Times New Roman"/>
          <w:i/>
          <w:iCs/>
        </w:rPr>
        <w:t>c</w:t>
      </w:r>
      <w:r w:rsidRPr="000B1BE9">
        <w:rPr>
          <w:rFonts w:ascii="Palatino Linotype" w:hAnsi="Palatino Linotype" w:cs="Times New Roman"/>
          <w:i/>
          <w:iCs/>
        </w:rPr>
        <w:t xml:space="preserve">eza infaz kurumlarında hükümlülerin yaşam hakları ile beden ve ruh bütünlüklerini korumak üzere her türlü koruyucu tedbirin alınması zorunludur" </w:t>
      </w:r>
      <w:r w:rsidR="0089178C" w:rsidRPr="000B1BE9">
        <w:rPr>
          <w:rFonts w:ascii="Palatino Linotype" w:hAnsi="Palatino Linotype" w:cs="Times New Roman"/>
        </w:rPr>
        <w:t>ve ayn</w:t>
      </w:r>
      <w:r w:rsidRPr="000B1BE9">
        <w:rPr>
          <w:rFonts w:ascii="Palatino Linotype" w:hAnsi="Palatino Linotype" w:cs="Times New Roman"/>
        </w:rPr>
        <w:t xml:space="preserve">ı Kanunun </w:t>
      </w:r>
      <w:r w:rsidRPr="000B1BE9">
        <w:rPr>
          <w:rFonts w:ascii="Palatino Linotype" w:hAnsi="Palatino Linotype" w:cs="Times New Roman"/>
          <w:i/>
          <w:iCs/>
        </w:rPr>
        <w:t>"</w:t>
      </w:r>
      <w:r w:rsidR="00872512" w:rsidRPr="000B1BE9">
        <w:rPr>
          <w:rFonts w:ascii="Palatino Linotype" w:hAnsi="Palatino Linotype" w:cs="Times New Roman"/>
          <w:i/>
          <w:iCs/>
        </w:rPr>
        <w:t>ha</w:t>
      </w:r>
      <w:r w:rsidRPr="000B1BE9">
        <w:rPr>
          <w:rFonts w:ascii="Palatino Linotype" w:hAnsi="Palatino Linotype" w:cs="Times New Roman"/>
          <w:i/>
          <w:iCs/>
        </w:rPr>
        <w:t>pis cezasının infazının hastalık nedeni ile ertelenmesi"</w:t>
      </w:r>
      <w:r w:rsidRPr="000B1BE9">
        <w:rPr>
          <w:rFonts w:ascii="Palatino Linotype" w:hAnsi="Palatino Linotype" w:cs="Times New Roman"/>
        </w:rPr>
        <w:t xml:space="preserve"> başlıklı 16. </w:t>
      </w:r>
      <w:r w:rsidR="0089178C" w:rsidRPr="000B1BE9">
        <w:rPr>
          <w:rFonts w:ascii="Palatino Linotype" w:hAnsi="Palatino Linotype" w:cs="Times New Roman"/>
        </w:rPr>
        <w:t>m</w:t>
      </w:r>
      <w:r w:rsidRPr="000B1BE9">
        <w:rPr>
          <w:rFonts w:ascii="Palatino Linotype" w:hAnsi="Palatino Linotype" w:cs="Times New Roman"/>
        </w:rPr>
        <w:t>addesinde</w:t>
      </w:r>
      <w:r w:rsidR="0089178C" w:rsidRPr="000B1BE9">
        <w:rPr>
          <w:rFonts w:ascii="Palatino Linotype" w:hAnsi="Palatino Linotype" w:cs="Times New Roman"/>
        </w:rPr>
        <w:t xml:space="preserve"> de;</w:t>
      </w:r>
    </w:p>
    <w:p w14:paraId="14F30F2E" w14:textId="77777777" w:rsidR="0089178C" w:rsidRPr="000B1BE9" w:rsidRDefault="008E375D" w:rsidP="000B1BE9">
      <w:pPr>
        <w:ind w:firstLine="567"/>
        <w:jc w:val="both"/>
        <w:rPr>
          <w:rFonts w:ascii="Palatino Linotype" w:hAnsi="Palatino Linotype" w:cs="Times New Roman"/>
          <w:i/>
          <w:iCs/>
        </w:rPr>
      </w:pPr>
      <w:r w:rsidRPr="000B1BE9">
        <w:rPr>
          <w:rFonts w:ascii="Palatino Linotype" w:hAnsi="Palatino Linotype" w:cs="Times New Roman"/>
          <w:i/>
          <w:iCs/>
        </w:rPr>
        <w:t xml:space="preserve">"...(2) Diğer hastalıklarda cezanın infazına, resmî sağlık kuruluşlarının mahkûmlara ayrılan bölümlerinde devam olunur. Ancak bu durumda bile hapis cezasının infazı, mahkûmun hayatı için kesin bir tehlike teşkil ediyorsa mahkûmun cezasının infazı iyileşinceye kadar geri bırakılır. </w:t>
      </w:r>
    </w:p>
    <w:p w14:paraId="55C59A92" w14:textId="77777777" w:rsidR="0089178C" w:rsidRPr="000B1BE9" w:rsidRDefault="008E375D" w:rsidP="000B1BE9">
      <w:pPr>
        <w:ind w:firstLine="567"/>
        <w:jc w:val="both"/>
        <w:rPr>
          <w:rFonts w:ascii="Palatino Linotype" w:hAnsi="Palatino Linotype" w:cs="Times New Roman"/>
          <w:i/>
          <w:iCs/>
        </w:rPr>
      </w:pPr>
      <w:r w:rsidRPr="000B1BE9">
        <w:rPr>
          <w:rFonts w:ascii="Palatino Linotype" w:hAnsi="Palatino Linotype" w:cs="Times New Roman"/>
          <w:i/>
          <w:iCs/>
        </w:rPr>
        <w:t xml:space="preserve">(3) Yukarıdaki fıkralarda belirtilen geri bırakma kararı, Adlî Tıp Kurumunca düzenlenen ya da Adalet Bakanlığınca belirlenen tam teşekküllü hastanelerin sağlık kurullarınca düzenlenip Adlî Tıp Kurumunca onaylanan rapor üzerine, infazın yapıldığı yer Cumhuriyet Başsavcılığınca verilir. Geri bırakma kararı, mahkûmun tâbi olacağı yükümlülükler belirtilmek suretiyle kendisine ve yasal temsilcisine tebliğ edilir. Mahkûmun geri bırakma süresi içinde bulunacağı yer, kendisi veya yasal temsilcisi tarafından ilgili Cumhuriyet Başsavcılığına bildirilir. Mahkûmun sağlık durumu, geri bırakma kararını veren Cumhuriyet Başsavcılığınca veya onun istemi üzerine, bulunduğu veya tedavisinin yapıldığı yer Cumhuriyet Başsavcılığınca, sağlık raporunda belirtilen sürelere, bir süre bulunmadığı takdirde birer yıllık dönemlere göre bu fıkrada yazılı usule uygun olarak incelettirilir. ... Bu fıkrada yazılı yükümlülüklere aykırı hareket edilmesi hâlinde geri bırakma kararı, kararı veren Cumhuriyet Başsavcılığınca kaldırılır. Bu karara karşı infaz hâkimliğine başvurulabilir. </w:t>
      </w:r>
    </w:p>
    <w:p w14:paraId="0C47AA52" w14:textId="337A0BCC" w:rsidR="008E375D" w:rsidRDefault="008E375D" w:rsidP="000B1BE9">
      <w:pPr>
        <w:ind w:firstLine="567"/>
        <w:jc w:val="both"/>
        <w:rPr>
          <w:rFonts w:ascii="Palatino Linotype" w:hAnsi="Palatino Linotype" w:cs="Times New Roman"/>
        </w:rPr>
      </w:pPr>
      <w:r w:rsidRPr="000B1BE9">
        <w:rPr>
          <w:rFonts w:ascii="Palatino Linotype" w:hAnsi="Palatino Linotype" w:cs="Times New Roman"/>
          <w:i/>
          <w:iCs/>
        </w:rPr>
        <w:t>...(6) Maruz kaldığı ağır bir hastalık veya engellilik nedeniyle ceza infaz kurumu koşullarında hayatını yalnız idame ettiremeyen ve toplum güvenliği bakımından ağır ve somut tehlike oluşturmayacağı değerlendirilen mahkûmun cezasının infazı üçüncü fıkrada belirlenen usule göre iyileşinceye kadar geri bırakılabilir"</w:t>
      </w:r>
      <w:r w:rsidR="0089178C" w:rsidRPr="000B1BE9">
        <w:rPr>
          <w:rFonts w:ascii="Palatino Linotype" w:hAnsi="Palatino Linotype" w:cs="Times New Roman"/>
        </w:rPr>
        <w:t xml:space="preserve"> denilmiştir.</w:t>
      </w:r>
    </w:p>
    <w:p w14:paraId="6C2362DB" w14:textId="192BF9D4" w:rsidR="00F93FB0" w:rsidRPr="007E0B8F" w:rsidRDefault="00F93FB0" w:rsidP="000B1BE9">
      <w:pPr>
        <w:ind w:firstLine="567"/>
        <w:jc w:val="both"/>
        <w:rPr>
          <w:rFonts w:ascii="Palatino Linotype" w:hAnsi="Palatino Linotype" w:cs="Times New Roman"/>
        </w:rPr>
      </w:pPr>
      <w:r w:rsidRPr="007E0B8F">
        <w:rPr>
          <w:rFonts w:ascii="Palatino Linotype" w:hAnsi="Palatino Linotype" w:cs="Times New Roman"/>
        </w:rPr>
        <w:t>Anayasa Mahkemesi,</w:t>
      </w:r>
      <w:r w:rsidR="00A953AA" w:rsidRPr="007E0B8F">
        <w:rPr>
          <w:rFonts w:ascii="Palatino Linotype" w:hAnsi="Palatino Linotype" w:cs="Times New Roman"/>
        </w:rPr>
        <w:t xml:space="preserve"> </w:t>
      </w:r>
      <w:r w:rsidR="00A953AA" w:rsidRPr="0025726A">
        <w:rPr>
          <w:rFonts w:ascii="Palatino Linotype" w:hAnsi="Palatino Linotype" w:cs="Times New Roman"/>
        </w:rPr>
        <w:t xml:space="preserve">Murat Karabulut </w:t>
      </w:r>
      <w:r w:rsidRPr="007E0B8F">
        <w:rPr>
          <w:rFonts w:ascii="Palatino Linotype" w:hAnsi="Palatino Linotype" w:cs="Times New Roman"/>
        </w:rPr>
        <w:t>kararında</w:t>
      </w:r>
      <w:r w:rsidR="00A953AA" w:rsidRPr="0025726A">
        <w:rPr>
          <w:vertAlign w:val="superscript"/>
        </w:rPr>
        <w:footnoteReference w:id="11"/>
      </w:r>
      <w:r w:rsidRPr="007E0B8F">
        <w:rPr>
          <w:rFonts w:ascii="Palatino Linotype" w:hAnsi="Palatino Linotype" w:cs="Times New Roman"/>
        </w:rPr>
        <w:t xml:space="preserve">, ölümcül bir hastalığa yakalanan </w:t>
      </w:r>
      <w:r w:rsidR="00A953AA" w:rsidRPr="007E0B8F">
        <w:rPr>
          <w:rFonts w:ascii="Palatino Linotype" w:hAnsi="Palatino Linotype" w:cs="Times New Roman"/>
        </w:rPr>
        <w:t>kişinin</w:t>
      </w:r>
      <w:r w:rsidRPr="007E0B8F">
        <w:rPr>
          <w:rFonts w:ascii="Palatino Linotype" w:hAnsi="Palatino Linotype" w:cs="Times New Roman"/>
        </w:rPr>
        <w:t xml:space="preserve"> sağlık durumu kötüleşmesine rağmen tahliye edilmemiş olmasını ve ailesinden uzakta cezaevinde vefat etmiş olmasının insan haysiyetiyle bağdaşmayan bir muamele oluşturduğuna hükmetmiştir.</w:t>
      </w:r>
    </w:p>
    <w:p w14:paraId="471BEDDE" w14:textId="45290531" w:rsidR="007E0B8F" w:rsidRPr="000B1BE9" w:rsidRDefault="007E0B8F" w:rsidP="000B1BE9">
      <w:pPr>
        <w:ind w:firstLine="567"/>
        <w:jc w:val="both"/>
        <w:rPr>
          <w:rFonts w:ascii="Palatino Linotype" w:hAnsi="Palatino Linotype" w:cs="Times New Roman"/>
        </w:rPr>
      </w:pPr>
      <w:r w:rsidRPr="0025726A">
        <w:rPr>
          <w:rFonts w:ascii="Palatino Linotype" w:hAnsi="Palatino Linotype" w:cs="Times New Roman"/>
        </w:rPr>
        <w:t>Temur Eskibağ ve Mehmet Rıza Eskibağ k</w:t>
      </w:r>
      <w:r w:rsidRPr="007E0B8F">
        <w:rPr>
          <w:rFonts w:ascii="Palatino Linotype" w:hAnsi="Palatino Linotype" w:cs="Times New Roman"/>
        </w:rPr>
        <w:t>ararında</w:t>
      </w:r>
      <w:r w:rsidRPr="0025726A">
        <w:rPr>
          <w:vertAlign w:val="superscript"/>
        </w:rPr>
        <w:footnoteReference w:id="12"/>
      </w:r>
      <w:r w:rsidRPr="007E0B8F">
        <w:rPr>
          <w:rFonts w:ascii="Palatino Linotype" w:hAnsi="Palatino Linotype" w:cs="Times New Roman"/>
        </w:rPr>
        <w:t xml:space="preserve"> da ka</w:t>
      </w:r>
      <w:r>
        <w:rPr>
          <w:rFonts w:ascii="Palatino Linotype" w:hAnsi="Palatino Linotype" w:cs="Times New Roman"/>
        </w:rPr>
        <w:t>nser hastası olan kişinin infaz erteleme talebinin hızlı biçimde değerlendirilmemesi ve bu hususta karar alınana kadar kişinin hayatını kaybetmesi nedeniyle Anayasa’nın 17. maddesinin ihlali sonucunu doğurduğu tespit edilmiştir.</w:t>
      </w:r>
    </w:p>
    <w:p w14:paraId="345DC70F" w14:textId="2047FEE1" w:rsidR="008E375D" w:rsidRPr="00361DFE" w:rsidRDefault="008E375D" w:rsidP="000B1BE9">
      <w:pPr>
        <w:ind w:firstLine="567"/>
        <w:jc w:val="both"/>
        <w:rPr>
          <w:rFonts w:ascii="Palatino Linotype" w:hAnsi="Palatino Linotype" w:cs="Times New Roman"/>
          <w:b/>
          <w:bCs/>
        </w:rPr>
      </w:pPr>
      <w:r w:rsidRPr="00361DFE">
        <w:rPr>
          <w:rFonts w:ascii="Palatino Linotype" w:hAnsi="Palatino Linotype" w:cs="Times New Roman"/>
          <w:b/>
          <w:bCs/>
        </w:rPr>
        <w:t xml:space="preserve">Bu </w:t>
      </w:r>
      <w:r w:rsidR="0089178C" w:rsidRPr="00361DFE">
        <w:rPr>
          <w:rFonts w:ascii="Palatino Linotype" w:hAnsi="Palatino Linotype" w:cs="Times New Roman"/>
          <w:b/>
          <w:bCs/>
        </w:rPr>
        <w:t>düzenleme</w:t>
      </w:r>
      <w:r w:rsidR="007E0B8F">
        <w:rPr>
          <w:rFonts w:ascii="Palatino Linotype" w:hAnsi="Palatino Linotype" w:cs="Times New Roman"/>
          <w:b/>
          <w:bCs/>
        </w:rPr>
        <w:t xml:space="preserve"> ve kararlardan da </w:t>
      </w:r>
      <w:r w:rsidRPr="00361DFE">
        <w:rPr>
          <w:rFonts w:ascii="Palatino Linotype" w:hAnsi="Palatino Linotype" w:cs="Times New Roman"/>
          <w:b/>
          <w:bCs/>
        </w:rPr>
        <w:t>anlaşılacağı üzere</w:t>
      </w:r>
      <w:r w:rsidR="0089178C" w:rsidRPr="00361DFE">
        <w:rPr>
          <w:rFonts w:ascii="Palatino Linotype" w:hAnsi="Palatino Linotype" w:cs="Times New Roman"/>
          <w:b/>
          <w:bCs/>
        </w:rPr>
        <w:t>,</w:t>
      </w:r>
      <w:r w:rsidRPr="00361DFE">
        <w:rPr>
          <w:rFonts w:ascii="Palatino Linotype" w:hAnsi="Palatino Linotype" w:cs="Times New Roman"/>
          <w:b/>
          <w:bCs/>
        </w:rPr>
        <w:t xml:space="preserve"> ceza infazının mahkûmun hayatı için kesin bir tehlike teşkil ettiği durumda cezasının infazının koşulların düzelmesine kadar geri bırakılacağı </w:t>
      </w:r>
      <w:r w:rsidRPr="00361DFE">
        <w:rPr>
          <w:rFonts w:ascii="Palatino Linotype" w:hAnsi="Palatino Linotype" w:cs="Times New Roman"/>
          <w:b/>
          <w:bCs/>
          <w:i/>
          <w:iCs/>
        </w:rPr>
        <w:t xml:space="preserve">"toplum güvenliği bakımından ağır ve somut tehlike oluşturmayan" </w:t>
      </w:r>
      <w:r w:rsidR="0089178C" w:rsidRPr="00361DFE">
        <w:rPr>
          <w:rFonts w:ascii="Palatino Linotype" w:hAnsi="Palatino Linotype" w:cs="Times New Roman"/>
          <w:b/>
          <w:bCs/>
        </w:rPr>
        <w:t xml:space="preserve">tutuklunun tahliye edilmesi, hükümlünün de </w:t>
      </w:r>
      <w:r w:rsidRPr="00361DFE">
        <w:rPr>
          <w:rFonts w:ascii="Palatino Linotype" w:hAnsi="Palatino Linotype" w:cs="Times New Roman"/>
          <w:b/>
          <w:bCs/>
        </w:rPr>
        <w:t>cezasının ertelenmesi gerektiği açıktır.</w:t>
      </w:r>
    </w:p>
    <w:p w14:paraId="0CAA57EE" w14:textId="77777777" w:rsidR="00670819" w:rsidRPr="000B1BE9" w:rsidRDefault="008E375D" w:rsidP="000B1BE9">
      <w:pPr>
        <w:ind w:firstLine="567"/>
        <w:jc w:val="both"/>
        <w:rPr>
          <w:rFonts w:ascii="Palatino Linotype" w:hAnsi="Palatino Linotype" w:cs="Times New Roman"/>
        </w:rPr>
      </w:pPr>
      <w:r w:rsidRPr="000B1BE9">
        <w:rPr>
          <w:rFonts w:ascii="Palatino Linotype" w:hAnsi="Palatino Linotype" w:cs="Times New Roman"/>
        </w:rPr>
        <w:lastRenderedPageBreak/>
        <w:t xml:space="preserve">Yaşam hakkı en temel insan hakkıdır. Bu hakka yönelmiş tehditlerin bertaraf edilmesi Devlet için en önemli ve öncelikli görevdir. Devletin bu konuda mevcut pozitif yükümlülüğünü yerine getirmesi hukuksal, anayasal, siyasal ve vicdani bir zorunluluktur. </w:t>
      </w:r>
    </w:p>
    <w:p w14:paraId="7DFBF1E4" w14:textId="77777777" w:rsidR="00670819" w:rsidRPr="000B1BE9" w:rsidRDefault="008E375D" w:rsidP="000B1BE9">
      <w:pPr>
        <w:ind w:firstLine="567"/>
        <w:jc w:val="both"/>
        <w:rPr>
          <w:rFonts w:ascii="Palatino Linotype" w:hAnsi="Palatino Linotype" w:cs="Times New Roman"/>
        </w:rPr>
      </w:pPr>
      <w:r w:rsidRPr="000B1BE9">
        <w:rPr>
          <w:rFonts w:ascii="Palatino Linotype" w:hAnsi="Palatino Linotype" w:cs="Times New Roman"/>
        </w:rPr>
        <w:t>Yukarıdaki bilgilerin ışığında, müvekkilimiz .......   ,     ......      yıldır .........    Cezaevinde .... kişilik koğuşta...... kişiyle birlikte kalmaktadır.</w:t>
      </w:r>
    </w:p>
    <w:p w14:paraId="457BAD04" w14:textId="72944697" w:rsidR="00670819" w:rsidRPr="000B1BE9" w:rsidRDefault="00670819" w:rsidP="000B1BE9">
      <w:pPr>
        <w:ind w:firstLine="567"/>
        <w:jc w:val="both"/>
        <w:rPr>
          <w:rFonts w:ascii="Palatino Linotype" w:hAnsi="Palatino Linotype" w:cs="Times New Roman"/>
        </w:rPr>
      </w:pPr>
      <w:r w:rsidRPr="00361DFE">
        <w:rPr>
          <w:rFonts w:ascii="Palatino Linotype" w:hAnsi="Palatino Linotype" w:cs="Times New Roman"/>
          <w:highlight w:val="yellow"/>
        </w:rPr>
        <w:t>(BU BÖLÜME KİŞİNİN HASTALI</w:t>
      </w:r>
      <w:r w:rsidR="00361DFE">
        <w:rPr>
          <w:rFonts w:ascii="Palatino Linotype" w:hAnsi="Palatino Linotype" w:cs="Times New Roman"/>
          <w:highlight w:val="yellow"/>
        </w:rPr>
        <w:t>ĞI,</w:t>
      </w:r>
      <w:r w:rsidRPr="00361DFE">
        <w:rPr>
          <w:rFonts w:ascii="Palatino Linotype" w:hAnsi="Palatino Linotype" w:cs="Times New Roman"/>
          <w:highlight w:val="yellow"/>
        </w:rPr>
        <w:t xml:space="preserve"> CEZAEVİ KOŞULLARINDA YAŞADIĞI İMKANSIZLIKLAR YAZILMALI</w:t>
      </w:r>
      <w:r w:rsidR="00361DFE">
        <w:rPr>
          <w:rFonts w:ascii="Palatino Linotype" w:hAnsi="Palatino Linotype" w:cs="Times New Roman"/>
          <w:highlight w:val="yellow"/>
        </w:rPr>
        <w:t xml:space="preserve"> VE HASTALIĞINA İLİŞKİN UYGULANAN TEDAVİLER VE ALINAN RAPORLAR EKLENMELİ</w:t>
      </w:r>
      <w:r w:rsidRPr="00361DFE">
        <w:rPr>
          <w:rFonts w:ascii="Palatino Linotype" w:hAnsi="Palatino Linotype" w:cs="Times New Roman"/>
          <w:highlight w:val="yellow"/>
        </w:rPr>
        <w:t>)</w:t>
      </w:r>
    </w:p>
    <w:p w14:paraId="34A94F97" w14:textId="77777777" w:rsidR="008E375D" w:rsidRPr="000B1BE9" w:rsidRDefault="00670819" w:rsidP="000B1BE9">
      <w:pPr>
        <w:ind w:firstLine="567"/>
        <w:jc w:val="both"/>
        <w:rPr>
          <w:rFonts w:ascii="Palatino Linotype" w:hAnsi="Palatino Linotype" w:cs="Times New Roman"/>
        </w:rPr>
      </w:pPr>
      <w:r w:rsidRPr="000B1BE9">
        <w:rPr>
          <w:rFonts w:ascii="Palatino Linotype" w:hAnsi="Palatino Linotype" w:cs="Times New Roman"/>
        </w:rPr>
        <w:t xml:space="preserve">Anılan sebeplerle </w:t>
      </w:r>
      <w:r w:rsidR="008E375D" w:rsidRPr="000B1BE9">
        <w:rPr>
          <w:rFonts w:ascii="Palatino Linotype" w:hAnsi="Palatino Linotype" w:cs="Times New Roman"/>
        </w:rPr>
        <w:t>tahliye kararının verilmesi</w:t>
      </w:r>
      <w:r w:rsidR="00D51425" w:rsidRPr="000B1BE9">
        <w:rPr>
          <w:rFonts w:ascii="Palatino Linotype" w:hAnsi="Palatino Linotype" w:cs="Times New Roman"/>
        </w:rPr>
        <w:t xml:space="preserve"> mahkemeniz açısından tarihsel </w:t>
      </w:r>
      <w:r w:rsidR="008E375D" w:rsidRPr="000B1BE9">
        <w:rPr>
          <w:rFonts w:ascii="Palatino Linotype" w:hAnsi="Palatino Linotype" w:cs="Times New Roman"/>
        </w:rPr>
        <w:t>ve e</w:t>
      </w:r>
      <w:r w:rsidR="00D51425" w:rsidRPr="000B1BE9">
        <w:rPr>
          <w:rFonts w:ascii="Palatino Linotype" w:hAnsi="Palatino Linotype" w:cs="Times New Roman"/>
        </w:rPr>
        <w:t>tik bir sorumluluktur.</w:t>
      </w:r>
    </w:p>
    <w:p w14:paraId="5E5F253A" w14:textId="08FB364F" w:rsidR="008E375D" w:rsidRPr="000B1BE9" w:rsidRDefault="000D76A2" w:rsidP="000B1BE9">
      <w:pPr>
        <w:ind w:firstLine="567"/>
        <w:jc w:val="both"/>
        <w:rPr>
          <w:rFonts w:ascii="Palatino Linotype" w:hAnsi="Palatino Linotype" w:cs="Times New Roman"/>
        </w:rPr>
      </w:pPr>
      <w:r w:rsidRPr="000B1BE9">
        <w:rPr>
          <w:rFonts w:ascii="Palatino Linotype" w:hAnsi="Palatino Linotype" w:cs="Times New Roman"/>
        </w:rPr>
        <w:t xml:space="preserve">Müvekkilin hastalığı için şu ana kadar </w:t>
      </w:r>
      <w:r w:rsidR="008E375D" w:rsidRPr="000B1BE9">
        <w:rPr>
          <w:rFonts w:ascii="Palatino Linotype" w:hAnsi="Palatino Linotype" w:cs="Times New Roman"/>
        </w:rPr>
        <w:t xml:space="preserve">alınan önlemlerin cezaevi koşullarında yetersiz olduğu göz önüne alınarak müvekkilimizin </w:t>
      </w:r>
      <w:r w:rsidRPr="000B1BE9">
        <w:rPr>
          <w:rFonts w:ascii="Palatino Linotype" w:hAnsi="Palatino Linotype" w:cs="Times New Roman"/>
        </w:rPr>
        <w:t xml:space="preserve">sağlık durumunun cezaevinde kalmasına mani olmayacağı şartlar oluşuncaya kadar </w:t>
      </w:r>
      <w:r w:rsidR="008E375D" w:rsidRPr="000B1BE9">
        <w:rPr>
          <w:rFonts w:ascii="Palatino Linotype" w:hAnsi="Palatino Linotype" w:cs="Times New Roman"/>
        </w:rPr>
        <w:t>TAHLİYE EDİLMESİNİ</w:t>
      </w:r>
      <w:r w:rsidRPr="000B1BE9">
        <w:rPr>
          <w:rFonts w:ascii="Palatino Linotype" w:hAnsi="Palatino Linotype" w:cs="Times New Roman"/>
        </w:rPr>
        <w:t>/İNFAZININ ERTELENMESİNİ</w:t>
      </w:r>
      <w:r w:rsidR="008E375D" w:rsidRPr="000B1BE9">
        <w:rPr>
          <w:rFonts w:ascii="Palatino Linotype" w:hAnsi="Palatino Linotype" w:cs="Times New Roman"/>
        </w:rPr>
        <w:t xml:space="preserve"> </w:t>
      </w:r>
      <w:r w:rsidR="002C1C6A" w:rsidRPr="000B1BE9">
        <w:rPr>
          <w:rFonts w:ascii="Palatino Linotype" w:hAnsi="Palatino Linotype" w:cs="Times New Roman"/>
        </w:rPr>
        <w:t xml:space="preserve">arz ve talep ederiz. </w:t>
      </w:r>
      <w:r w:rsidR="00361DFE">
        <w:rPr>
          <w:rFonts w:ascii="Palatino Linotype" w:hAnsi="Palatino Linotype" w:cs="Times New Roman"/>
        </w:rPr>
        <w:t>……./…./…..</w:t>
      </w:r>
    </w:p>
    <w:p w14:paraId="032405F4" w14:textId="77777777" w:rsidR="008E375D" w:rsidRPr="000B1BE9" w:rsidRDefault="008E375D" w:rsidP="000B1BE9">
      <w:pPr>
        <w:ind w:firstLine="567"/>
        <w:jc w:val="both"/>
        <w:rPr>
          <w:rFonts w:ascii="Palatino Linotype" w:hAnsi="Palatino Linotype" w:cs="Times New Roman"/>
        </w:rPr>
      </w:pPr>
    </w:p>
    <w:p w14:paraId="180519FD" w14:textId="77777777" w:rsidR="00AC2F06" w:rsidRPr="000B1BE9" w:rsidRDefault="008E375D" w:rsidP="000B1BE9">
      <w:pPr>
        <w:ind w:firstLine="567"/>
        <w:jc w:val="both"/>
        <w:rPr>
          <w:rFonts w:ascii="Palatino Linotype" w:hAnsi="Palatino Linotype" w:cs="Times New Roman"/>
        </w:rPr>
      </w:pPr>
      <w:r w:rsidRPr="000B1BE9">
        <w:rPr>
          <w:rFonts w:ascii="Palatino Linotype" w:hAnsi="Palatino Linotype" w:cs="Times New Roman"/>
        </w:rPr>
        <w:t xml:space="preserve">                                                                                 HÜKÜMLÜ/TUTUKLU</w:t>
      </w:r>
      <w:r w:rsidR="002C1C6A" w:rsidRPr="000B1BE9">
        <w:rPr>
          <w:rFonts w:ascii="Palatino Linotype" w:hAnsi="Palatino Linotype" w:cs="Times New Roman"/>
        </w:rPr>
        <w:t xml:space="preserve"> adına </w:t>
      </w:r>
    </w:p>
    <w:sectPr w:rsidR="00AC2F06" w:rsidRPr="000B1B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56EA" w14:textId="77777777" w:rsidR="004140B9" w:rsidRDefault="004140B9" w:rsidP="003970ED">
      <w:pPr>
        <w:spacing w:after="0" w:line="240" w:lineRule="auto"/>
      </w:pPr>
      <w:r>
        <w:separator/>
      </w:r>
    </w:p>
  </w:endnote>
  <w:endnote w:type="continuationSeparator" w:id="0">
    <w:p w14:paraId="42B007F2" w14:textId="77777777" w:rsidR="004140B9" w:rsidRDefault="004140B9" w:rsidP="00397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BB34A" w14:textId="77777777" w:rsidR="004140B9" w:rsidRDefault="004140B9" w:rsidP="003970ED">
      <w:pPr>
        <w:spacing w:after="0" w:line="240" w:lineRule="auto"/>
      </w:pPr>
      <w:r>
        <w:separator/>
      </w:r>
    </w:p>
  </w:footnote>
  <w:footnote w:type="continuationSeparator" w:id="0">
    <w:p w14:paraId="0D1A069A" w14:textId="77777777" w:rsidR="004140B9" w:rsidRDefault="004140B9" w:rsidP="003970ED">
      <w:pPr>
        <w:spacing w:after="0" w:line="240" w:lineRule="auto"/>
      </w:pPr>
      <w:r>
        <w:continuationSeparator/>
      </w:r>
    </w:p>
  </w:footnote>
  <w:footnote w:id="1">
    <w:p w14:paraId="0AD95641" w14:textId="4B2FFBC7" w:rsidR="003970ED" w:rsidRPr="001C5212" w:rsidRDefault="003970ED"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t xml:space="preserve">Kudla/Polonya (Büyük Daire), </w:t>
      </w:r>
      <w:r w:rsidR="00597A76" w:rsidRPr="001C5212">
        <w:rPr>
          <w:rFonts w:ascii="Palatino Linotype" w:hAnsi="Palatino Linotype" w:cs="Times New Roman"/>
          <w:sz w:val="19"/>
          <w:szCs w:val="19"/>
        </w:rPr>
        <w:t xml:space="preserve">No. </w:t>
      </w:r>
      <w:r w:rsidRPr="001C5212">
        <w:rPr>
          <w:rFonts w:ascii="Palatino Linotype" w:hAnsi="Palatino Linotype" w:cs="Times New Roman"/>
          <w:sz w:val="19"/>
          <w:szCs w:val="19"/>
        </w:rPr>
        <w:t>30210/96, 26/10/2000, § 94.</w:t>
      </w:r>
    </w:p>
  </w:footnote>
  <w:footnote w:id="2">
    <w:p w14:paraId="7C7E24F7" w14:textId="0ADACC73" w:rsidR="003970ED" w:rsidRPr="001C5212" w:rsidRDefault="003970ED"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t xml:space="preserve">Khudobin/Rusya, </w:t>
      </w:r>
      <w:r w:rsidR="00597A76" w:rsidRPr="001C5212">
        <w:rPr>
          <w:rFonts w:ascii="Palatino Linotype" w:hAnsi="Palatino Linotype" w:cs="Times New Roman"/>
          <w:sz w:val="19"/>
          <w:szCs w:val="19"/>
        </w:rPr>
        <w:t xml:space="preserve">No. </w:t>
      </w:r>
      <w:r w:rsidRPr="001C5212">
        <w:rPr>
          <w:rFonts w:ascii="Palatino Linotype" w:hAnsi="Palatino Linotype" w:cs="Times New Roman"/>
          <w:sz w:val="19"/>
          <w:szCs w:val="19"/>
        </w:rPr>
        <w:t>59696/00, 26/01/2007; Paladi/Moldova, 39806/05, 10/3/2009.</w:t>
      </w:r>
    </w:p>
  </w:footnote>
  <w:footnote w:id="3">
    <w:p w14:paraId="2AB8DF39" w14:textId="363EAB86" w:rsidR="003970ED" w:rsidRPr="001C5212" w:rsidRDefault="003970ED"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t>Mouisel/Fransa,</w:t>
      </w:r>
      <w:r w:rsidR="00597A76" w:rsidRPr="001C5212">
        <w:rPr>
          <w:rFonts w:ascii="Palatino Linotype" w:hAnsi="Palatino Linotype" w:cs="Times New Roman"/>
          <w:sz w:val="19"/>
          <w:szCs w:val="19"/>
        </w:rPr>
        <w:t xml:space="preserve"> No.</w:t>
      </w:r>
      <w:r w:rsidRPr="001C5212">
        <w:rPr>
          <w:rFonts w:ascii="Palatino Linotype" w:hAnsi="Palatino Linotype" w:cs="Times New Roman"/>
          <w:sz w:val="19"/>
          <w:szCs w:val="19"/>
        </w:rPr>
        <w:t xml:space="preserve"> 67263/01, 21/5/2003.</w:t>
      </w:r>
    </w:p>
  </w:footnote>
  <w:footnote w:id="4">
    <w:p w14:paraId="07531CB5" w14:textId="1753A799" w:rsidR="003970ED" w:rsidRPr="001C5212" w:rsidRDefault="003970ED"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000B1BE9" w:rsidRPr="001C5212">
        <w:rPr>
          <w:rFonts w:ascii="Palatino Linotype" w:hAnsi="Palatino Linotype" w:cs="Times New Roman"/>
          <w:sz w:val="19"/>
          <w:szCs w:val="19"/>
        </w:rPr>
        <w:tab/>
      </w:r>
      <w:r w:rsidRPr="001C5212">
        <w:rPr>
          <w:rFonts w:ascii="Palatino Linotype" w:hAnsi="Palatino Linotype" w:cs="Times New Roman"/>
          <w:sz w:val="19"/>
          <w:szCs w:val="19"/>
        </w:rPr>
        <w:t xml:space="preserve">Serifis / Yunanistan, </w:t>
      </w:r>
      <w:r w:rsidR="00597A76" w:rsidRPr="001C5212">
        <w:rPr>
          <w:rFonts w:ascii="Palatino Linotype" w:hAnsi="Palatino Linotype" w:cs="Times New Roman"/>
          <w:sz w:val="19"/>
          <w:szCs w:val="19"/>
        </w:rPr>
        <w:t xml:space="preserve">No. </w:t>
      </w:r>
      <w:r w:rsidRPr="001C5212">
        <w:rPr>
          <w:rFonts w:ascii="Palatino Linotype" w:hAnsi="Palatino Linotype" w:cs="Times New Roman"/>
          <w:sz w:val="19"/>
          <w:szCs w:val="19"/>
        </w:rPr>
        <w:t>27695/03, 02/11/2006.</w:t>
      </w:r>
    </w:p>
  </w:footnote>
  <w:footnote w:id="5">
    <w:p w14:paraId="0F71D561" w14:textId="7F5169E0" w:rsidR="000B1BE9" w:rsidRPr="001C5212" w:rsidRDefault="000B1BE9" w:rsidP="000B1BE9">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t>Testa/Hırvatistan, No. 20877/12/7/2007.</w:t>
      </w:r>
    </w:p>
  </w:footnote>
  <w:footnote w:id="6">
    <w:p w14:paraId="0CEBF5CD" w14:textId="40B9F988" w:rsidR="00083800" w:rsidRPr="001C5212" w:rsidRDefault="00083800"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00597A76" w:rsidRPr="001C5212">
        <w:rPr>
          <w:rFonts w:ascii="Palatino Linotype" w:hAnsi="Palatino Linotype" w:cs="Times New Roman"/>
          <w:sz w:val="19"/>
          <w:szCs w:val="19"/>
        </w:rPr>
        <w:tab/>
      </w:r>
      <w:r w:rsidRPr="001C5212">
        <w:rPr>
          <w:rFonts w:ascii="Palatino Linotype" w:hAnsi="Palatino Linotype" w:cs="Times New Roman"/>
          <w:sz w:val="19"/>
          <w:szCs w:val="19"/>
        </w:rPr>
        <w:t xml:space="preserve">Ashot Harutyunyan/Ermenistan, </w:t>
      </w:r>
      <w:r w:rsidR="00597A76" w:rsidRPr="001C5212">
        <w:rPr>
          <w:rFonts w:ascii="Palatino Linotype" w:hAnsi="Palatino Linotype" w:cs="Times New Roman"/>
          <w:sz w:val="19"/>
          <w:szCs w:val="19"/>
        </w:rPr>
        <w:t xml:space="preserve">No. </w:t>
      </w:r>
      <w:r w:rsidRPr="001C5212">
        <w:rPr>
          <w:rFonts w:ascii="Palatino Linotype" w:hAnsi="Palatino Linotype" w:cs="Times New Roman"/>
          <w:sz w:val="19"/>
          <w:szCs w:val="19"/>
        </w:rPr>
        <w:t>34334/04, 15/6/2010.</w:t>
      </w:r>
    </w:p>
  </w:footnote>
  <w:footnote w:id="7">
    <w:p w14:paraId="76E6F205" w14:textId="201B7714" w:rsidR="00597A76" w:rsidRPr="001C5212" w:rsidRDefault="00597A76"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t>Slimani/Fransa, No. 57671/00, 27/7/2004,</w:t>
      </w:r>
      <w:r w:rsidR="00A953AA"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 27.</w:t>
      </w:r>
    </w:p>
  </w:footnote>
  <w:footnote w:id="8">
    <w:p w14:paraId="4EC4F719" w14:textId="4897FB8C" w:rsidR="00597A76" w:rsidRPr="001C5212" w:rsidRDefault="00597A76" w:rsidP="00597A76">
      <w:pPr>
        <w:pStyle w:val="DipnotMetni"/>
        <w:ind w:left="567" w:hanging="567"/>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t>Kats ve Diğerleri/Ukrayna, No. 29971/04, 18/12/2208, §§ 110 ve 112.</w:t>
      </w:r>
    </w:p>
  </w:footnote>
  <w:footnote w:id="9">
    <w:p w14:paraId="7068DC72" w14:textId="3EFBA101" w:rsidR="00597A76" w:rsidRPr="001C5212" w:rsidRDefault="00597A76" w:rsidP="00597A76">
      <w:pPr>
        <w:pStyle w:val="DipnotMetni"/>
        <w:ind w:left="567" w:hanging="567"/>
        <w:jc w:val="both"/>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r>
      <w:r w:rsidRPr="001C5212">
        <w:rPr>
          <w:rFonts w:ascii="Palatino Linotype" w:hAnsi="Palatino Linotype" w:cs="Times New Roman"/>
          <w:sz w:val="19"/>
          <w:szCs w:val="19"/>
          <w:shd w:val="clear" w:color="auto" w:fill="FFFFFF"/>
        </w:rPr>
        <w:t>L.C.B.</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 xml:space="preserve">Birleşik Krallık, No. 23413/94, 09/6/1998, </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36;</w:t>
      </w:r>
      <w:r w:rsidR="009D6167" w:rsidRPr="001C5212">
        <w:rPr>
          <w:rFonts w:ascii="Palatino Linotype" w:hAnsi="Palatino Linotype" w:cs="Times New Roman"/>
          <w:sz w:val="19"/>
          <w:szCs w:val="19"/>
          <w:shd w:val="clear" w:color="auto" w:fill="FFFFFF"/>
        </w:rPr>
        <w:t xml:space="preserve"> </w:t>
      </w:r>
      <w:r w:rsidRPr="001C5212">
        <w:rPr>
          <w:rFonts w:ascii="Palatino Linotype" w:hAnsi="Palatino Linotype" w:cs="Times New Roman"/>
          <w:sz w:val="19"/>
          <w:szCs w:val="19"/>
          <w:shd w:val="clear" w:color="auto" w:fill="FFFFFF"/>
        </w:rPr>
        <w:t>Osman</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 xml:space="preserve">Birleşik Krallık Kararı, [BD], No. 23452/94, 28/10/1998, </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115; Calvelli ve Ciglio</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İtalya Kararı, [BD], No. 32967/96, 17/01/2002, </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48; Kontrova</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 xml:space="preserve">Slovakya, No. 7510/04, 31/5/2007, </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49; Giuliani ve Gaggio</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İtalya, [BD], No. 23458/02, 24/3/2011, </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208.</w:t>
      </w:r>
    </w:p>
  </w:footnote>
  <w:footnote w:id="10">
    <w:p w14:paraId="3EDDF7BB" w14:textId="2F8206A4" w:rsidR="00597A76" w:rsidRPr="001C5212" w:rsidRDefault="00597A76" w:rsidP="00597A76">
      <w:pPr>
        <w:pStyle w:val="DipnotMetni"/>
        <w:ind w:left="567" w:hanging="567"/>
        <w:jc w:val="both"/>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r>
      <w:r w:rsidRPr="001C5212">
        <w:rPr>
          <w:rFonts w:ascii="Palatino Linotype" w:hAnsi="Palatino Linotype" w:cs="Times New Roman"/>
          <w:sz w:val="19"/>
          <w:szCs w:val="19"/>
          <w:shd w:val="clear" w:color="auto" w:fill="FFFFFF"/>
        </w:rPr>
        <w:t>Tanrıbilir</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 xml:space="preserve">Türkiye, No. 21422/93, 16/11/2000, </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74; Keenan</w:t>
      </w:r>
      <w:r w:rsidR="0025726A" w:rsidRPr="001C5212">
        <w:rPr>
          <w:rFonts w:ascii="Palatino Linotype" w:hAnsi="Palatino Linotype" w:cs="Times New Roman"/>
          <w:sz w:val="19"/>
          <w:szCs w:val="19"/>
          <w:shd w:val="clear" w:color="auto" w:fill="FFFFFF"/>
        </w:rPr>
        <w:t>/</w:t>
      </w:r>
      <w:r w:rsidRPr="001C5212">
        <w:rPr>
          <w:rFonts w:ascii="Palatino Linotype" w:hAnsi="Palatino Linotype" w:cs="Times New Roman"/>
          <w:sz w:val="19"/>
          <w:szCs w:val="19"/>
          <w:shd w:val="clear" w:color="auto" w:fill="FFFFFF"/>
        </w:rPr>
        <w:t>Birleşik Krallık, No. 27229/95, 03/4/2001,</w:t>
      </w:r>
      <w:r w:rsidR="00A953AA" w:rsidRPr="001C5212">
        <w:rPr>
          <w:rFonts w:ascii="Palatino Linotype" w:hAnsi="Palatino Linotype" w:cs="Times New Roman"/>
          <w:sz w:val="19"/>
          <w:szCs w:val="19"/>
          <w:shd w:val="clear" w:color="auto" w:fill="FFFFFF"/>
        </w:rPr>
        <w:t xml:space="preserve"> </w:t>
      </w:r>
      <w:r w:rsidR="00A953AA" w:rsidRPr="001C5212">
        <w:rPr>
          <w:rFonts w:ascii="Palatino Linotype" w:hAnsi="Palatino Linotype" w:cs="Times New Roman"/>
          <w:sz w:val="19"/>
          <w:szCs w:val="19"/>
        </w:rPr>
        <w:t>§</w:t>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shd w:val="clear" w:color="auto" w:fill="FFFFFF"/>
        </w:rPr>
        <w:t>90-91.</w:t>
      </w:r>
    </w:p>
  </w:footnote>
  <w:footnote w:id="11">
    <w:p w14:paraId="0350008C" w14:textId="4FFC3906" w:rsidR="00A953AA" w:rsidRPr="001C5212" w:rsidRDefault="00A953AA" w:rsidP="0025726A">
      <w:pPr>
        <w:pStyle w:val="DipnotMetni"/>
        <w:ind w:left="567" w:hanging="567"/>
        <w:jc w:val="both"/>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007E0B8F" w:rsidRPr="001C5212">
        <w:rPr>
          <w:rFonts w:ascii="Palatino Linotype" w:hAnsi="Palatino Linotype" w:cs="Times New Roman"/>
          <w:i/>
          <w:iCs/>
          <w:color w:val="000000"/>
          <w:sz w:val="19"/>
          <w:szCs w:val="19"/>
          <w:shd w:val="clear" w:color="auto" w:fill="FFFFFF"/>
        </w:rPr>
        <w:t xml:space="preserve"> </w:t>
      </w:r>
      <w:r w:rsidR="007E0B8F" w:rsidRPr="001C5212">
        <w:rPr>
          <w:rFonts w:ascii="Palatino Linotype" w:hAnsi="Palatino Linotype" w:cs="Times New Roman"/>
          <w:i/>
          <w:iCs/>
          <w:color w:val="000000"/>
          <w:sz w:val="19"/>
          <w:szCs w:val="19"/>
          <w:shd w:val="clear" w:color="auto" w:fill="FFFFFF"/>
        </w:rPr>
        <w:tab/>
      </w:r>
      <w:r w:rsidR="007E0B8F" w:rsidRPr="001C5212">
        <w:rPr>
          <w:rFonts w:ascii="Palatino Linotype" w:hAnsi="Palatino Linotype" w:cs="Times New Roman"/>
          <w:i/>
          <w:iCs/>
          <w:color w:val="000000"/>
          <w:sz w:val="19"/>
          <w:szCs w:val="19"/>
          <w:shd w:val="clear" w:color="auto" w:fill="FFFFFF"/>
        </w:rPr>
        <w:tab/>
      </w:r>
      <w:r w:rsidRPr="001C5212">
        <w:rPr>
          <w:rFonts w:ascii="Palatino Linotype" w:hAnsi="Palatino Linotype" w:cs="Times New Roman"/>
          <w:i/>
          <w:iCs/>
          <w:color w:val="000000"/>
          <w:sz w:val="19"/>
          <w:szCs w:val="19"/>
          <w:shd w:val="clear" w:color="auto" w:fill="FFFFFF"/>
        </w:rPr>
        <w:t>Murat Karabulut</w:t>
      </w:r>
      <w:r w:rsidRPr="001C5212">
        <w:rPr>
          <w:rFonts w:ascii="Palatino Linotype" w:hAnsi="Palatino Linotype" w:cs="Times New Roman"/>
          <w:color w:val="000000"/>
          <w:sz w:val="19"/>
          <w:szCs w:val="19"/>
          <w:shd w:val="clear" w:color="auto" w:fill="FFFFFF"/>
        </w:rPr>
        <w:t>, No. 2013/2754</w:t>
      </w:r>
      <w:r w:rsidR="007E0B8F" w:rsidRPr="001C5212">
        <w:rPr>
          <w:rFonts w:ascii="Palatino Linotype" w:hAnsi="Palatino Linotype" w:cs="Times New Roman"/>
          <w:color w:val="000000"/>
          <w:sz w:val="19"/>
          <w:szCs w:val="19"/>
          <w:shd w:val="clear" w:color="auto" w:fill="FFFFFF"/>
        </w:rPr>
        <w:t xml:space="preserve">, </w:t>
      </w:r>
      <w:r w:rsidR="007E0B8F" w:rsidRPr="001C5212">
        <w:rPr>
          <w:rFonts w:ascii="Palatino Linotype" w:hAnsi="Palatino Linotype" w:cs="Times New Roman"/>
          <w:sz w:val="19"/>
          <w:szCs w:val="19"/>
        </w:rPr>
        <w:t>§§ 86-87</w:t>
      </w:r>
      <w:r w:rsidRPr="001C5212">
        <w:rPr>
          <w:rFonts w:ascii="Palatino Linotype" w:hAnsi="Palatino Linotype" w:cs="Times New Roman"/>
          <w:color w:val="000000"/>
          <w:sz w:val="19"/>
          <w:szCs w:val="19"/>
          <w:shd w:val="clear" w:color="auto" w:fill="FFFFFF"/>
        </w:rPr>
        <w:t>, 18/2/2016</w:t>
      </w:r>
      <w:r w:rsidRPr="001C5212">
        <w:rPr>
          <w:rFonts w:ascii="Palatino Linotype" w:hAnsi="Palatino Linotype" w:cs="Times New Roman"/>
          <w:sz w:val="19"/>
          <w:szCs w:val="19"/>
        </w:rPr>
        <w:t>.</w:t>
      </w:r>
    </w:p>
  </w:footnote>
  <w:footnote w:id="12">
    <w:p w14:paraId="51B9076F" w14:textId="49419D97" w:rsidR="007E0B8F" w:rsidRPr="001C5212" w:rsidRDefault="007E0B8F">
      <w:pPr>
        <w:pStyle w:val="DipnotMetni"/>
        <w:rPr>
          <w:rFonts w:ascii="Palatino Linotype" w:hAnsi="Palatino Linotype" w:cs="Times New Roman"/>
          <w:sz w:val="19"/>
          <w:szCs w:val="19"/>
        </w:rPr>
      </w:pPr>
      <w:r w:rsidRPr="001C5212">
        <w:rPr>
          <w:rStyle w:val="DipnotBavurusu"/>
          <w:rFonts w:ascii="Palatino Linotype" w:hAnsi="Palatino Linotype" w:cs="Times New Roman"/>
          <w:sz w:val="19"/>
          <w:szCs w:val="19"/>
        </w:rPr>
        <w:footnoteRef/>
      </w:r>
      <w:r w:rsidRPr="001C5212">
        <w:rPr>
          <w:rFonts w:ascii="Palatino Linotype" w:hAnsi="Palatino Linotype" w:cs="Times New Roman"/>
          <w:sz w:val="19"/>
          <w:szCs w:val="19"/>
        </w:rPr>
        <w:t xml:space="preserve"> </w:t>
      </w:r>
      <w:r w:rsidRPr="001C5212">
        <w:rPr>
          <w:rFonts w:ascii="Palatino Linotype" w:hAnsi="Palatino Linotype" w:cs="Times New Roman"/>
          <w:sz w:val="19"/>
          <w:szCs w:val="19"/>
        </w:rPr>
        <w:tab/>
      </w:r>
      <w:r w:rsidRPr="001C5212">
        <w:rPr>
          <w:rFonts w:ascii="Palatino Linotype" w:hAnsi="Palatino Linotype" w:cs="Times New Roman"/>
          <w:i/>
          <w:iCs/>
          <w:color w:val="000000"/>
          <w:sz w:val="19"/>
          <w:szCs w:val="19"/>
          <w:shd w:val="clear" w:color="auto" w:fill="FFFFFF"/>
        </w:rPr>
        <w:t>Temur Eskibağ ve Mehmet Rıza Eskibağ</w:t>
      </w:r>
      <w:r w:rsidRPr="001C5212">
        <w:rPr>
          <w:rFonts w:ascii="Palatino Linotype" w:hAnsi="Palatino Linotype" w:cs="Times New Roman"/>
          <w:color w:val="000000"/>
          <w:sz w:val="19"/>
          <w:szCs w:val="19"/>
          <w:shd w:val="clear" w:color="auto" w:fill="FFFFFF"/>
        </w:rPr>
        <w:t>, No. 2014/5098, §§ 109-110, 20/12/2017.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4D"/>
    <w:rsid w:val="000259D2"/>
    <w:rsid w:val="00026CD8"/>
    <w:rsid w:val="00083800"/>
    <w:rsid w:val="000B1BE9"/>
    <w:rsid w:val="000B3B43"/>
    <w:rsid w:val="000D76A2"/>
    <w:rsid w:val="0018269F"/>
    <w:rsid w:val="001C5212"/>
    <w:rsid w:val="00211A72"/>
    <w:rsid w:val="0025726A"/>
    <w:rsid w:val="00297C53"/>
    <w:rsid w:val="002C1C6A"/>
    <w:rsid w:val="003033C0"/>
    <w:rsid w:val="00361DFE"/>
    <w:rsid w:val="003970ED"/>
    <w:rsid w:val="003F21C8"/>
    <w:rsid w:val="004140B9"/>
    <w:rsid w:val="00597A76"/>
    <w:rsid w:val="00651668"/>
    <w:rsid w:val="00670819"/>
    <w:rsid w:val="00670D5A"/>
    <w:rsid w:val="00697A61"/>
    <w:rsid w:val="006E27DF"/>
    <w:rsid w:val="007E0B8F"/>
    <w:rsid w:val="00862C93"/>
    <w:rsid w:val="00872512"/>
    <w:rsid w:val="0089178C"/>
    <w:rsid w:val="00892A75"/>
    <w:rsid w:val="008E375D"/>
    <w:rsid w:val="00964669"/>
    <w:rsid w:val="009D6167"/>
    <w:rsid w:val="00A24089"/>
    <w:rsid w:val="00A46D19"/>
    <w:rsid w:val="00A953AA"/>
    <w:rsid w:val="00AC2F06"/>
    <w:rsid w:val="00B110A0"/>
    <w:rsid w:val="00C37A4D"/>
    <w:rsid w:val="00C57A46"/>
    <w:rsid w:val="00D51425"/>
    <w:rsid w:val="00D54DEF"/>
    <w:rsid w:val="00F93F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4153"/>
  <w15:chartTrackingRefBased/>
  <w15:docId w15:val="{615A2E20-F5C9-449F-BD64-37D66E4F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2512"/>
    <w:rPr>
      <w:color w:val="0000FF"/>
      <w:u w:val="single"/>
    </w:rPr>
  </w:style>
  <w:style w:type="character" w:styleId="DipnotBavurusu">
    <w:name w:val="footnote reference"/>
    <w:basedOn w:val="VarsaylanParagrafYazTipi"/>
    <w:uiPriority w:val="99"/>
    <w:semiHidden/>
    <w:unhideWhenUsed/>
    <w:rsid w:val="00872512"/>
  </w:style>
  <w:style w:type="paragraph" w:styleId="NormalWeb">
    <w:name w:val="Normal (Web)"/>
    <w:basedOn w:val="Normal"/>
    <w:uiPriority w:val="99"/>
    <w:semiHidden/>
    <w:unhideWhenUsed/>
    <w:rsid w:val="008917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3970E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970ED"/>
    <w:rPr>
      <w:sz w:val="20"/>
      <w:szCs w:val="20"/>
    </w:rPr>
  </w:style>
  <w:style w:type="paragraph" w:styleId="Dzeltme">
    <w:name w:val="Revision"/>
    <w:hidden/>
    <w:uiPriority w:val="99"/>
    <w:semiHidden/>
    <w:rsid w:val="00F93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28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F74A4-2B84-405F-81BC-2D98463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1703</Words>
  <Characters>9712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Elifefe</dc:creator>
  <cp:keywords/>
  <dc:description/>
  <cp:lastModifiedBy>Lenovo</cp:lastModifiedBy>
  <cp:revision>2</cp:revision>
  <dcterms:created xsi:type="dcterms:W3CDTF">2022-02-20T17:52:00Z</dcterms:created>
  <dcterms:modified xsi:type="dcterms:W3CDTF">2022-02-20T17:52:00Z</dcterms:modified>
</cp:coreProperties>
</file>