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A59C" w14:textId="77777777" w:rsidR="006B61B3" w:rsidRPr="00AF6591" w:rsidRDefault="006B61B3" w:rsidP="00AF6591">
      <w:pPr>
        <w:jc w:val="center"/>
        <w:rPr>
          <w:rFonts w:ascii="Palatino Linotype" w:hAnsi="Palatino Linotype"/>
          <w:b/>
          <w:bCs/>
        </w:rPr>
      </w:pPr>
      <w:r w:rsidRPr="00AF6591">
        <w:rPr>
          <w:rFonts w:ascii="Palatino Linotype" w:hAnsi="Palatino Linotype"/>
          <w:b/>
          <w:bCs/>
        </w:rPr>
        <w:t>ANAYASA MAHKEMESİ BAŞKANLIĞI’NA</w:t>
      </w:r>
    </w:p>
    <w:p w14:paraId="002451BB" w14:textId="77777777" w:rsidR="006B61B3" w:rsidRPr="00AF6591" w:rsidRDefault="00842CAE" w:rsidP="00AF6591">
      <w:pPr>
        <w:jc w:val="center"/>
        <w:rPr>
          <w:rFonts w:ascii="Palatino Linotype" w:hAnsi="Palatino Linotype"/>
          <w:b/>
          <w:bCs/>
        </w:rPr>
      </w:pPr>
      <w:r w:rsidRPr="00AF6591">
        <w:rPr>
          <w:rFonts w:ascii="Palatino Linotype" w:hAnsi="Palatino Linotype"/>
          <w:b/>
          <w:bCs/>
        </w:rPr>
        <w:t>YARGITAY ..</w:t>
      </w:r>
      <w:r w:rsidR="006B61B3" w:rsidRPr="00AF6591">
        <w:rPr>
          <w:rFonts w:ascii="Palatino Linotype" w:hAnsi="Palatino Linotype"/>
          <w:b/>
          <w:bCs/>
        </w:rPr>
        <w:t>. CEZA DAİRESİ BAŞKANLIĞI’NA</w:t>
      </w:r>
    </w:p>
    <w:p w14:paraId="0C601062" w14:textId="77777777" w:rsidR="006B61B3" w:rsidRPr="00AF6591" w:rsidRDefault="006B61B3" w:rsidP="00AF6591">
      <w:pPr>
        <w:jc w:val="center"/>
        <w:rPr>
          <w:rFonts w:ascii="Palatino Linotype" w:hAnsi="Palatino Linotype"/>
          <w:b/>
          <w:bCs/>
        </w:rPr>
      </w:pPr>
      <w:r w:rsidRPr="00AF6591">
        <w:rPr>
          <w:rFonts w:ascii="Palatino Linotype" w:hAnsi="Palatino Linotype"/>
          <w:b/>
          <w:bCs/>
        </w:rPr>
        <w:t>……BÖLGE ADLİYE MAHKEMESİ BAŞKANLIĞI’NA</w:t>
      </w:r>
    </w:p>
    <w:p w14:paraId="5C6141D7" w14:textId="77777777" w:rsidR="006B61B3" w:rsidRPr="00AF6591" w:rsidRDefault="006B61B3" w:rsidP="00AF6591">
      <w:pPr>
        <w:jc w:val="center"/>
        <w:rPr>
          <w:rFonts w:ascii="Palatino Linotype" w:hAnsi="Palatino Linotype"/>
          <w:b/>
          <w:bCs/>
        </w:rPr>
      </w:pPr>
      <w:r w:rsidRPr="00AF6591">
        <w:rPr>
          <w:rFonts w:ascii="Palatino Linotype" w:hAnsi="Palatino Linotype"/>
          <w:b/>
          <w:bCs/>
        </w:rPr>
        <w:t>……..BÖLGE İDARE MAHKEMESİ BAŞKANLIĞI’NA</w:t>
      </w:r>
    </w:p>
    <w:p w14:paraId="1A27ACD7" w14:textId="77777777" w:rsidR="006B61B3" w:rsidRPr="00AF6591" w:rsidRDefault="006B61B3" w:rsidP="00AF6591">
      <w:pPr>
        <w:jc w:val="center"/>
        <w:rPr>
          <w:rFonts w:ascii="Palatino Linotype" w:hAnsi="Palatino Linotype"/>
          <w:b/>
          <w:bCs/>
        </w:rPr>
      </w:pPr>
      <w:r w:rsidRPr="00AF6591">
        <w:rPr>
          <w:rFonts w:ascii="Palatino Linotype" w:hAnsi="Palatino Linotype"/>
          <w:b/>
          <w:bCs/>
        </w:rPr>
        <w:t>…AĞIR CEZA MAHKEMESİ BAŞKANLIĞI’NA</w:t>
      </w:r>
    </w:p>
    <w:p w14:paraId="7F1E7331" w14:textId="0F1035A6" w:rsidR="006B61B3" w:rsidRDefault="006B61B3" w:rsidP="00AF6591">
      <w:pPr>
        <w:jc w:val="center"/>
        <w:rPr>
          <w:rFonts w:ascii="Palatino Linotype" w:hAnsi="Palatino Linotype"/>
          <w:b/>
          <w:bCs/>
        </w:rPr>
      </w:pPr>
      <w:r w:rsidRPr="00AF6591">
        <w:rPr>
          <w:rFonts w:ascii="Palatino Linotype" w:hAnsi="Palatino Linotype"/>
          <w:b/>
          <w:bCs/>
        </w:rPr>
        <w:t>….İDARE MAHKEMESİ BAŞKANLIĞI’NA</w:t>
      </w:r>
    </w:p>
    <w:p w14:paraId="7BE6DB72" w14:textId="77777777" w:rsidR="00C14C72" w:rsidRDefault="00C14C72" w:rsidP="00AF6591">
      <w:pPr>
        <w:jc w:val="center"/>
        <w:rPr>
          <w:rFonts w:ascii="Palatino Linotype" w:hAnsi="Palatino Linotype"/>
          <w:b/>
          <w:bCs/>
        </w:rPr>
      </w:pPr>
    </w:p>
    <w:p w14:paraId="12FCFFE4" w14:textId="19F60AFC" w:rsidR="00AF6591" w:rsidRPr="00AF6591" w:rsidRDefault="00C14C72" w:rsidP="00C14C72">
      <w:pPr>
        <w:ind w:firstLine="567"/>
        <w:rPr>
          <w:rFonts w:ascii="Palatino Linotype" w:hAnsi="Palatino Linotype"/>
          <w:b/>
          <w:bCs/>
        </w:rPr>
      </w:pPr>
      <w:r>
        <w:rPr>
          <w:rFonts w:ascii="Palatino Linotype" w:hAnsi="Palatino Linotype"/>
          <w:b/>
          <w:bCs/>
        </w:rPr>
        <w:t>ESAS:…/….</w:t>
      </w:r>
    </w:p>
    <w:p w14:paraId="4E361CC1" w14:textId="6A23EB8A" w:rsidR="006B61B3" w:rsidRPr="00AF6591" w:rsidRDefault="006B61B3" w:rsidP="0079000B">
      <w:pPr>
        <w:ind w:firstLine="567"/>
        <w:jc w:val="both"/>
        <w:rPr>
          <w:rFonts w:ascii="Palatino Linotype" w:hAnsi="Palatino Linotype"/>
        </w:rPr>
      </w:pPr>
      <w:r w:rsidRPr="00AF6591">
        <w:rPr>
          <w:rFonts w:ascii="Palatino Linotype" w:hAnsi="Palatino Linotype"/>
          <w:b/>
        </w:rPr>
        <w:t>KONU:</w:t>
      </w:r>
      <w:r w:rsidRPr="00AF6591">
        <w:rPr>
          <w:rFonts w:ascii="Palatino Linotype" w:hAnsi="Palatino Linotype"/>
        </w:rPr>
        <w:t xml:space="preserve"> Birleşmiş Milletler (BM) İnsan Hakları Konseyi Keyfi Tutuklama Çalışma Grubu’nun</w:t>
      </w:r>
      <w:r w:rsidR="0079000B">
        <w:rPr>
          <w:rFonts w:ascii="Palatino Linotype" w:hAnsi="Palatino Linotype"/>
        </w:rPr>
        <w:t xml:space="preserve"> (Çalışma Grubu)</w:t>
      </w:r>
      <w:r w:rsidRPr="00AF6591">
        <w:rPr>
          <w:rFonts w:ascii="Palatino Linotype" w:hAnsi="Palatino Linotype"/>
        </w:rPr>
        <w:t xml:space="preserve">  07/6/2022 tarihinde verdiği Bylock kullan</w:t>
      </w:r>
      <w:r w:rsidR="005B1C3A">
        <w:rPr>
          <w:rFonts w:ascii="Palatino Linotype" w:hAnsi="Palatino Linotype"/>
        </w:rPr>
        <w:t>ımı ve Bank Asya’da yapılan bankacılık faaliyetinin</w:t>
      </w:r>
      <w:r w:rsidRPr="00AF6591">
        <w:rPr>
          <w:rFonts w:ascii="Palatino Linotype" w:hAnsi="Palatino Linotype"/>
        </w:rPr>
        <w:t xml:space="preserve"> suç niteliği</w:t>
      </w:r>
      <w:r w:rsidR="005B1C3A">
        <w:rPr>
          <w:rFonts w:ascii="Palatino Linotype" w:hAnsi="Palatino Linotype"/>
        </w:rPr>
        <w:t>yle ilgili verdiği</w:t>
      </w:r>
      <w:r w:rsidRPr="00AF6591">
        <w:rPr>
          <w:rFonts w:ascii="Palatino Linotype" w:hAnsi="Palatino Linotype"/>
        </w:rPr>
        <w:t xml:space="preserve"> </w:t>
      </w:r>
      <w:r w:rsidR="008E1FF9" w:rsidRPr="00AF6591">
        <w:rPr>
          <w:rFonts w:ascii="Palatino Linotype" w:hAnsi="Palatino Linotype"/>
        </w:rPr>
        <w:t>karar</w:t>
      </w:r>
      <w:r w:rsidR="005B1C3A">
        <w:rPr>
          <w:rFonts w:ascii="Palatino Linotype" w:hAnsi="Palatino Linotype"/>
        </w:rPr>
        <w:t>ı</w:t>
      </w:r>
      <w:r w:rsidR="008E1FF9" w:rsidRPr="00AF6591">
        <w:rPr>
          <w:rFonts w:ascii="Palatino Linotype" w:hAnsi="Palatino Linotype"/>
        </w:rPr>
        <w:t xml:space="preserve"> hakkında ek beyanlarımızın sunulmasıdır.</w:t>
      </w:r>
    </w:p>
    <w:p w14:paraId="0CF9FEFE" w14:textId="063928DA" w:rsidR="00842CAE" w:rsidRDefault="00842CAE" w:rsidP="00AF6591">
      <w:pPr>
        <w:jc w:val="center"/>
        <w:rPr>
          <w:rFonts w:ascii="Palatino Linotype" w:hAnsi="Palatino Linotype"/>
          <w:b/>
        </w:rPr>
      </w:pPr>
      <w:r w:rsidRPr="00AF6591">
        <w:rPr>
          <w:rFonts w:ascii="Palatino Linotype" w:hAnsi="Palatino Linotype"/>
          <w:b/>
        </w:rPr>
        <w:t>AÇIKLAMALAR</w:t>
      </w:r>
    </w:p>
    <w:p w14:paraId="2B041920" w14:textId="3B4304C6" w:rsidR="008D7CF2" w:rsidRPr="008D7CF2" w:rsidRDefault="008D7CF2" w:rsidP="008D7CF2">
      <w:pPr>
        <w:ind w:firstLine="567"/>
        <w:rPr>
          <w:rFonts w:ascii="Palatino Linotype" w:hAnsi="Palatino Linotype"/>
          <w:b/>
        </w:rPr>
      </w:pPr>
      <w:r w:rsidRPr="008D7CF2">
        <w:rPr>
          <w:rFonts w:ascii="Palatino Linotype" w:hAnsi="Palatino Linotype"/>
          <w:b/>
        </w:rPr>
        <w:t>B</w:t>
      </w:r>
      <w:r>
        <w:rPr>
          <w:rFonts w:ascii="Palatino Linotype" w:hAnsi="Palatino Linotype"/>
          <w:b/>
        </w:rPr>
        <w:t xml:space="preserve">İRLEŞMİŞ </w:t>
      </w:r>
      <w:r w:rsidRPr="008D7CF2">
        <w:rPr>
          <w:rFonts w:ascii="Palatino Linotype" w:hAnsi="Palatino Linotype"/>
          <w:b/>
        </w:rPr>
        <w:t>M</w:t>
      </w:r>
      <w:r>
        <w:rPr>
          <w:rFonts w:ascii="Palatino Linotype" w:hAnsi="Palatino Linotype"/>
          <w:b/>
        </w:rPr>
        <w:t>İLLETLER</w:t>
      </w:r>
      <w:r w:rsidRPr="008D7CF2">
        <w:rPr>
          <w:rFonts w:ascii="Palatino Linotype" w:hAnsi="Palatino Linotype"/>
          <w:b/>
        </w:rPr>
        <w:t xml:space="preserve"> KEYFİ TUTUKLAMALAR ÇALIŞMA GRUBU KARARI </w:t>
      </w:r>
    </w:p>
    <w:p w14:paraId="6DB818CF" w14:textId="5B1EA0EE" w:rsidR="008E1FF9" w:rsidRPr="00AF6591" w:rsidRDefault="006B61B3" w:rsidP="0079000B">
      <w:pPr>
        <w:ind w:firstLine="567"/>
        <w:jc w:val="both"/>
        <w:rPr>
          <w:rFonts w:ascii="Palatino Linotype" w:hAnsi="Palatino Linotype"/>
        </w:rPr>
      </w:pPr>
      <w:r w:rsidRPr="00AF6591">
        <w:rPr>
          <w:rFonts w:ascii="Palatino Linotype" w:hAnsi="Palatino Linotype"/>
        </w:rPr>
        <w:t>Birleşmiş Milletler (BM) İnsan Hakları Konseyi Keyfi Tutuklama Çalışma Grubu 07/6/2022 tarihli kararında çok önemli tespit ve değerlendirmelerde bulunmuştur.</w:t>
      </w:r>
      <w:r w:rsidR="008E1FF9" w:rsidRPr="00AF6591">
        <w:rPr>
          <w:rFonts w:ascii="Palatino Linotype" w:hAnsi="Palatino Linotype"/>
        </w:rPr>
        <w:t xml:space="preserve"> </w:t>
      </w:r>
      <w:r w:rsidRPr="00AF6591">
        <w:rPr>
          <w:rFonts w:ascii="Palatino Linotype" w:hAnsi="Palatino Linotype"/>
        </w:rPr>
        <w:t>Çalışma Grubu,</w:t>
      </w:r>
      <w:r w:rsidR="008E1FF9" w:rsidRPr="00AF6591">
        <w:rPr>
          <w:rFonts w:ascii="Palatino Linotype" w:hAnsi="Palatino Linotype"/>
        </w:rPr>
        <w:t xml:space="preserve"> </w:t>
      </w:r>
      <w:r w:rsidRPr="00AF6591">
        <w:rPr>
          <w:rFonts w:ascii="Palatino Linotype" w:hAnsi="Palatino Linotype"/>
        </w:rPr>
        <w:t xml:space="preserve">Bylock ve </w:t>
      </w:r>
      <w:r w:rsidR="00AF6591">
        <w:rPr>
          <w:rFonts w:ascii="Palatino Linotype" w:hAnsi="Palatino Linotype"/>
        </w:rPr>
        <w:t xml:space="preserve">yargılandığım dosyada </w:t>
      </w:r>
      <w:r w:rsidRPr="00AF6591">
        <w:rPr>
          <w:rFonts w:ascii="Palatino Linotype" w:hAnsi="Palatino Linotype"/>
        </w:rPr>
        <w:t>kriter kabul e</w:t>
      </w:r>
      <w:r w:rsidR="00842CAE" w:rsidRPr="00AF6591">
        <w:rPr>
          <w:rFonts w:ascii="Palatino Linotype" w:hAnsi="Palatino Linotype"/>
        </w:rPr>
        <w:t xml:space="preserve">dilen </w:t>
      </w:r>
      <w:r w:rsidR="00842CAE" w:rsidRPr="0079000B">
        <w:rPr>
          <w:rFonts w:ascii="Palatino Linotype" w:hAnsi="Palatino Linotype"/>
          <w:highlight w:val="yellow"/>
        </w:rPr>
        <w:t>husus</w:t>
      </w:r>
      <w:r w:rsidR="0079000B" w:rsidRPr="0079000B">
        <w:rPr>
          <w:rFonts w:ascii="Palatino Linotype" w:hAnsi="Palatino Linotype"/>
          <w:highlight w:val="yellow"/>
        </w:rPr>
        <w:t>/</w:t>
      </w:r>
      <w:proofErr w:type="spellStart"/>
      <w:r w:rsidR="00842CAE" w:rsidRPr="0079000B">
        <w:rPr>
          <w:rFonts w:ascii="Palatino Linotype" w:hAnsi="Palatino Linotype"/>
          <w:highlight w:val="yellow"/>
        </w:rPr>
        <w:t>lar</w:t>
      </w:r>
      <w:proofErr w:type="spellEnd"/>
      <w:r w:rsidR="00842CAE" w:rsidRPr="00AF6591">
        <w:rPr>
          <w:rFonts w:ascii="Palatino Linotype" w:hAnsi="Palatino Linotype"/>
        </w:rPr>
        <w:t xml:space="preserve"> hakkında</w:t>
      </w:r>
      <w:r w:rsidR="008E1FF9" w:rsidRPr="00AF6591">
        <w:rPr>
          <w:rFonts w:ascii="Palatino Linotype" w:hAnsi="Palatino Linotype"/>
        </w:rPr>
        <w:t xml:space="preserve"> </w:t>
      </w:r>
      <w:r w:rsidR="00842CAE" w:rsidRPr="00AF6591">
        <w:rPr>
          <w:rFonts w:ascii="Palatino Linotype" w:hAnsi="Palatino Linotype"/>
        </w:rPr>
        <w:t xml:space="preserve">önemli </w:t>
      </w:r>
      <w:r w:rsidR="00AF6591" w:rsidRPr="00AF6591">
        <w:rPr>
          <w:rFonts w:ascii="Palatino Linotype" w:hAnsi="Palatino Linotype"/>
        </w:rPr>
        <w:t>tespitler</w:t>
      </w:r>
      <w:r w:rsidR="008E1FF9" w:rsidRPr="00AF6591">
        <w:rPr>
          <w:rFonts w:ascii="Palatino Linotype" w:hAnsi="Palatino Linotype"/>
        </w:rPr>
        <w:t xml:space="preserve"> yapmıştır. </w:t>
      </w:r>
    </w:p>
    <w:p w14:paraId="1EAC4FC1" w14:textId="30478043" w:rsidR="00AF6591" w:rsidRDefault="006B61B3" w:rsidP="0079000B">
      <w:pPr>
        <w:ind w:firstLine="567"/>
        <w:jc w:val="both"/>
        <w:rPr>
          <w:rFonts w:ascii="Palatino Linotype" w:hAnsi="Palatino Linotype"/>
          <w:b/>
        </w:rPr>
      </w:pPr>
      <w:r w:rsidRPr="00AF6591">
        <w:rPr>
          <w:rFonts w:ascii="Palatino Linotype" w:hAnsi="Palatino Linotype"/>
        </w:rPr>
        <w:t>Şöyle ki; Çalışma Grubu, Bylock kullanmanın ifade ve düşünce özgürlüğünün barışçıl bir şekilde kullanılması olduğunu ve herhangi bir hak veya özgürlüğün kullanımından ibaret eylemler</w:t>
      </w:r>
      <w:r w:rsidR="008E1FF9" w:rsidRPr="00AF6591">
        <w:rPr>
          <w:rFonts w:ascii="Palatino Linotype" w:hAnsi="Palatino Linotype"/>
        </w:rPr>
        <w:t>in</w:t>
      </w:r>
      <w:r w:rsidR="0079000B">
        <w:rPr>
          <w:rFonts w:ascii="Palatino Linotype" w:hAnsi="Palatino Linotype"/>
        </w:rPr>
        <w:t xml:space="preserve"> </w:t>
      </w:r>
      <w:r w:rsidR="0079000B" w:rsidRPr="00AF6591">
        <w:rPr>
          <w:rFonts w:ascii="Palatino Linotype" w:hAnsi="Palatino Linotype"/>
          <w:b/>
        </w:rPr>
        <w:t>yargılama konusu dahi yapılmaması gerektiğini belirtmiştir.</w:t>
      </w:r>
      <w:r w:rsidR="008E1FF9" w:rsidRPr="00AF6591">
        <w:rPr>
          <w:rFonts w:ascii="Palatino Linotype" w:hAnsi="Palatino Linotype"/>
        </w:rPr>
        <w:t xml:space="preserve"> </w:t>
      </w:r>
      <w:r w:rsidR="00842CAE" w:rsidRPr="0079000B">
        <w:rPr>
          <w:rFonts w:ascii="Palatino Linotype" w:hAnsi="Palatino Linotype"/>
          <w:color w:val="FF0000"/>
          <w:highlight w:val="yellow"/>
        </w:rPr>
        <w:t>(Bu dosya bakımından</w:t>
      </w:r>
      <w:r w:rsidRPr="0079000B">
        <w:rPr>
          <w:rFonts w:ascii="Palatino Linotype" w:hAnsi="Palatino Linotype"/>
          <w:color w:val="FF0000"/>
          <w:highlight w:val="yellow"/>
        </w:rPr>
        <w:t xml:space="preserve"> Bank Asya'daki bankacılık faaliyeti</w:t>
      </w:r>
      <w:r w:rsidR="008E1FF9" w:rsidRPr="0079000B">
        <w:rPr>
          <w:rFonts w:ascii="Palatino Linotype" w:hAnsi="Palatino Linotype"/>
          <w:color w:val="FF0000"/>
          <w:highlight w:val="yellow"/>
        </w:rPr>
        <w:t xml:space="preserve">dir ancak bu bölüme, Kurumda çalışmak, Derneğe üye olmak gibi yasal faaliyetler dosyanın içeriğine göre eklenmelidir. </w:t>
      </w:r>
      <w:r w:rsidRPr="0079000B">
        <w:rPr>
          <w:rFonts w:ascii="Palatino Linotype" w:hAnsi="Palatino Linotype"/>
          <w:color w:val="FF0000"/>
          <w:highlight w:val="yellow"/>
        </w:rPr>
        <w:t>)</w:t>
      </w:r>
      <w:r w:rsidRPr="00AF6591">
        <w:rPr>
          <w:rFonts w:ascii="Palatino Linotype" w:hAnsi="Palatino Linotype"/>
          <w:color w:val="FF0000"/>
        </w:rPr>
        <w:t xml:space="preserve"> </w:t>
      </w:r>
    </w:p>
    <w:p w14:paraId="761018B8" w14:textId="0A3D5E14" w:rsidR="006B61B3" w:rsidRPr="00AF6591" w:rsidRDefault="00AF6591" w:rsidP="0079000B">
      <w:pPr>
        <w:ind w:firstLine="567"/>
        <w:jc w:val="both"/>
        <w:rPr>
          <w:rFonts w:ascii="Palatino Linotype" w:hAnsi="Palatino Linotype"/>
          <w:i/>
          <w:iCs/>
        </w:rPr>
      </w:pPr>
      <w:r w:rsidRPr="00AF6591">
        <w:rPr>
          <w:rFonts w:ascii="Palatino Linotype" w:hAnsi="Palatino Linotype"/>
          <w:bCs/>
        </w:rPr>
        <w:t xml:space="preserve">Konuyla ilgili </w:t>
      </w:r>
      <w:r>
        <w:rPr>
          <w:rFonts w:ascii="Palatino Linotype" w:hAnsi="Palatino Linotype"/>
          <w:bCs/>
        </w:rPr>
        <w:t xml:space="preserve">olarak </w:t>
      </w:r>
      <w:r w:rsidRPr="00AF6591">
        <w:rPr>
          <w:rFonts w:ascii="Palatino Linotype" w:hAnsi="Palatino Linotype"/>
          <w:bCs/>
        </w:rPr>
        <w:t xml:space="preserve">kararın 100. </w:t>
      </w:r>
      <w:r>
        <w:rPr>
          <w:rFonts w:ascii="Palatino Linotype" w:hAnsi="Palatino Linotype"/>
          <w:bCs/>
        </w:rPr>
        <w:t>p</w:t>
      </w:r>
      <w:r w:rsidRPr="00AF6591">
        <w:rPr>
          <w:rFonts w:ascii="Palatino Linotype" w:hAnsi="Palatino Linotype"/>
          <w:bCs/>
        </w:rPr>
        <w:t>aragrafında şu hususlara yer verilmiştir;</w:t>
      </w:r>
      <w:r w:rsidRPr="00AF6591">
        <w:rPr>
          <w:rFonts w:ascii="Palatino Linotype" w:hAnsi="Palatino Linotype"/>
          <w:b/>
        </w:rPr>
        <w:t xml:space="preserve"> </w:t>
      </w:r>
      <w:r w:rsidRPr="00AF6591">
        <w:rPr>
          <w:rFonts w:ascii="Palatino Linotype" w:hAnsi="Palatino Linotype"/>
          <w:b/>
          <w:i/>
          <w:iCs/>
        </w:rPr>
        <w:t>“</w:t>
      </w:r>
      <w:r w:rsidRPr="00AF6591">
        <w:rPr>
          <w:rFonts w:ascii="Palatino Linotype" w:hAnsi="Palatino Linotype"/>
          <w:i/>
          <w:iCs/>
        </w:rPr>
        <w:t xml:space="preserve">Çalışma Grubu, Bay Duman ve Bay Tibik </w:t>
      </w:r>
      <w:r w:rsidRPr="00AF6591">
        <w:rPr>
          <w:rFonts w:ascii="Palatino Linotype" w:hAnsi="Palatino Linotype"/>
          <w:b/>
          <w:bCs/>
          <w:i/>
          <w:iCs/>
          <w:u w:val="single"/>
        </w:rPr>
        <w:t>ByLock kullanmış olsalar bile, bu faaliyetin yalnızca Sözleşme'nin 19. maddesi uyarınca ifade ve düşünce özgürlüğü haklarının barışçıl bir şekilde kullanılmasından ibaret olduğunu düşünmektedir.</w:t>
      </w:r>
      <w:r w:rsidRPr="00AF6591">
        <w:rPr>
          <w:rFonts w:ascii="Palatino Linotype" w:hAnsi="Palatino Linotype"/>
          <w:i/>
          <w:iCs/>
        </w:rPr>
        <w:t xml:space="preserve"> Bay Duman ve Bay Tibik'in Türkiye'de tutuklanması kategori II'ye girmektedir. Çalışma Grubu, bu davayı Düşünce ve ifade özgürlüğü hakkının geliştirilmesi ve korunmasına ilişkin Özel Raportöre gönderir.</w:t>
      </w:r>
      <w:r>
        <w:rPr>
          <w:rFonts w:ascii="Palatino Linotype" w:hAnsi="Palatino Linotype"/>
          <w:i/>
          <w:iCs/>
        </w:rPr>
        <w:t>”</w:t>
      </w:r>
    </w:p>
    <w:p w14:paraId="629144FA" w14:textId="77777777" w:rsidR="006B61B3" w:rsidRPr="00AF6591" w:rsidRDefault="006B61B3" w:rsidP="0079000B">
      <w:pPr>
        <w:ind w:firstLine="567"/>
        <w:jc w:val="both"/>
        <w:rPr>
          <w:rFonts w:ascii="Palatino Linotype" w:hAnsi="Palatino Linotype"/>
        </w:rPr>
      </w:pPr>
      <w:r w:rsidRPr="00AF6591">
        <w:rPr>
          <w:rFonts w:ascii="Palatino Linotype" w:hAnsi="Palatino Linotype"/>
        </w:rPr>
        <w:t xml:space="preserve">Bylock </w:t>
      </w:r>
      <w:r w:rsidR="008E1FF9" w:rsidRPr="00AF6591">
        <w:rPr>
          <w:rFonts w:ascii="Palatino Linotype" w:hAnsi="Palatino Linotype"/>
        </w:rPr>
        <w:t xml:space="preserve">kullanma fiili </w:t>
      </w:r>
      <w:r w:rsidRPr="00AF6591">
        <w:rPr>
          <w:rFonts w:ascii="Palatino Linotype" w:hAnsi="Palatino Linotype"/>
        </w:rPr>
        <w:t xml:space="preserve">özellikle vurgulanmakla birlikte; 101. paragrafta, </w:t>
      </w:r>
      <w:r w:rsidR="000A1DDB" w:rsidRPr="00AF6591">
        <w:rPr>
          <w:rFonts w:ascii="Palatino Linotype" w:hAnsi="Palatino Linotype"/>
        </w:rPr>
        <w:t xml:space="preserve"> bu tespit daha da genelleştirilerek </w:t>
      </w:r>
      <w:r w:rsidRPr="00AF6591">
        <w:rPr>
          <w:rFonts w:ascii="Palatino Linotype" w:hAnsi="Palatino Linotype"/>
        </w:rPr>
        <w:t xml:space="preserve">2. kategoriye giren bir hususun </w:t>
      </w:r>
      <w:r w:rsidR="00842CAE" w:rsidRPr="0079000B">
        <w:rPr>
          <w:rFonts w:ascii="Palatino Linotype" w:hAnsi="Palatino Linotype"/>
          <w:color w:val="FF0000"/>
          <w:highlight w:val="yellow"/>
        </w:rPr>
        <w:t xml:space="preserve">(Ör. </w:t>
      </w:r>
      <w:r w:rsidRPr="0079000B">
        <w:rPr>
          <w:rFonts w:ascii="Palatino Linotype" w:hAnsi="Palatino Linotype"/>
          <w:color w:val="FF0000"/>
          <w:highlight w:val="yellow"/>
        </w:rPr>
        <w:t>Banka</w:t>
      </w:r>
      <w:r w:rsidR="008E1FF9" w:rsidRPr="0079000B">
        <w:rPr>
          <w:rFonts w:ascii="Palatino Linotype" w:hAnsi="Palatino Linotype"/>
          <w:color w:val="FF0000"/>
          <w:highlight w:val="yellow"/>
        </w:rPr>
        <w:t>, Dernek Vakıf üyeliği, Kurumda çalışma, Çocuğunu okula gönderme gibi yasal faaliyetler</w:t>
      </w:r>
      <w:r w:rsidRPr="0079000B">
        <w:rPr>
          <w:rFonts w:ascii="Palatino Linotype" w:hAnsi="Palatino Linotype"/>
          <w:color w:val="FF0000"/>
          <w:highlight w:val="yellow"/>
        </w:rPr>
        <w:t>)</w:t>
      </w:r>
      <w:r w:rsidRPr="00AF6591">
        <w:rPr>
          <w:rFonts w:ascii="Palatino Linotype" w:hAnsi="Palatino Linotype"/>
          <w:color w:val="FF0000"/>
        </w:rPr>
        <w:t xml:space="preserve"> </w:t>
      </w:r>
      <w:r w:rsidRPr="00AF6591">
        <w:rPr>
          <w:rFonts w:ascii="Palatino Linotype" w:hAnsi="Palatino Linotype"/>
        </w:rPr>
        <w:t>ceza yargılamasına konu edi</w:t>
      </w:r>
      <w:r w:rsidR="000A1DDB" w:rsidRPr="00AF6591">
        <w:rPr>
          <w:rFonts w:ascii="Palatino Linotype" w:hAnsi="Palatino Linotype"/>
        </w:rPr>
        <w:t>lmemesi gerektiği belirtilmişti</w:t>
      </w:r>
      <w:r w:rsidR="00842CAE" w:rsidRPr="00AF6591">
        <w:rPr>
          <w:rFonts w:ascii="Palatino Linotype" w:hAnsi="Palatino Linotype"/>
        </w:rPr>
        <w:t>r</w:t>
      </w:r>
      <w:r w:rsidRPr="00AF6591">
        <w:rPr>
          <w:rFonts w:ascii="Palatino Linotype" w:hAnsi="Palatino Linotype"/>
        </w:rPr>
        <w:t>.</w:t>
      </w:r>
      <w:r w:rsidR="000A1DDB" w:rsidRPr="00AF6591">
        <w:rPr>
          <w:rFonts w:ascii="Palatino Linotype" w:hAnsi="Palatino Linotype"/>
        </w:rPr>
        <w:t xml:space="preserve"> </w:t>
      </w:r>
      <w:r w:rsidRPr="00AF6591">
        <w:rPr>
          <w:rFonts w:ascii="Palatino Linotype" w:hAnsi="Palatino Linotype"/>
        </w:rPr>
        <w:t>Zira 2. kategori, bir hakkın kullanımından dolayı kişilerin özgürlüklerinden yoksun bırakılması anlamına gelmektedir.</w:t>
      </w:r>
    </w:p>
    <w:p w14:paraId="540293E4" w14:textId="5378BB99" w:rsidR="006B61B3" w:rsidRPr="00AF6591" w:rsidRDefault="0079000B" w:rsidP="0079000B">
      <w:pPr>
        <w:ind w:firstLine="567"/>
        <w:jc w:val="both"/>
        <w:rPr>
          <w:rFonts w:ascii="Palatino Linotype" w:hAnsi="Palatino Linotype"/>
        </w:rPr>
      </w:pPr>
      <w:r>
        <w:rPr>
          <w:rFonts w:ascii="Palatino Linotype" w:hAnsi="Palatino Linotype"/>
        </w:rPr>
        <w:t>Çalışma Grubu</w:t>
      </w:r>
      <w:r w:rsidR="000A1DDB" w:rsidRPr="00AF6591">
        <w:rPr>
          <w:rFonts w:ascii="Palatino Linotype" w:hAnsi="Palatino Linotype"/>
        </w:rPr>
        <w:t xml:space="preserve"> kararına</w:t>
      </w:r>
      <w:r w:rsidR="006B61B3" w:rsidRPr="00AF6591">
        <w:rPr>
          <w:rFonts w:ascii="Palatino Linotype" w:hAnsi="Palatino Linotype"/>
        </w:rPr>
        <w:t xml:space="preserve"> göre hakkında bu iddialar olan kişilere bırakın ceza verilmesini,</w:t>
      </w:r>
      <w:r w:rsidR="000A1DDB" w:rsidRPr="00AF6591">
        <w:rPr>
          <w:rFonts w:ascii="Palatino Linotype" w:hAnsi="Palatino Linotype"/>
        </w:rPr>
        <w:t xml:space="preserve"> </w:t>
      </w:r>
      <w:r w:rsidR="006B61B3" w:rsidRPr="00AF6591">
        <w:rPr>
          <w:rFonts w:ascii="Palatino Linotype" w:hAnsi="Palatino Linotype"/>
        </w:rPr>
        <w:t xml:space="preserve">haklarında yargılama dahi </w:t>
      </w:r>
      <w:r w:rsidR="006B61B3" w:rsidRPr="0079000B">
        <w:rPr>
          <w:rFonts w:ascii="Palatino Linotype" w:hAnsi="Palatino Linotype"/>
          <w:b/>
          <w:bCs/>
        </w:rPr>
        <w:t>YAPILMAMALIDIR.</w:t>
      </w:r>
      <w:r>
        <w:rPr>
          <w:rFonts w:ascii="Palatino Linotype" w:hAnsi="Palatino Linotype"/>
        </w:rPr>
        <w:t xml:space="preserve"> </w:t>
      </w:r>
      <w:r w:rsidR="00AF6591">
        <w:rPr>
          <w:rFonts w:ascii="Palatino Linotype" w:hAnsi="Palatino Linotype"/>
        </w:rPr>
        <w:t>Konuyla ilgili olarak kararın 101. Paragrafında şu hususlara yer verilmiştir; “</w:t>
      </w:r>
      <w:r w:rsidR="00AF6591" w:rsidRPr="0079000B">
        <w:rPr>
          <w:rFonts w:ascii="Palatino Linotype" w:hAnsi="Palatino Linotype"/>
          <w:i/>
          <w:iCs/>
        </w:rPr>
        <w:t xml:space="preserve">Çalışma Grubu, Bay Duman ve Bay Tibik'in tutukluluk halinin kategori II'ye girdiğine ilişkin bulgusunu göz önünde bulundurarak, </w:t>
      </w:r>
      <w:r w:rsidR="00AF6591" w:rsidRPr="0079000B">
        <w:rPr>
          <w:rFonts w:ascii="Palatino Linotype" w:hAnsi="Palatino Linotype"/>
          <w:b/>
          <w:bCs/>
          <w:i/>
          <w:iCs/>
          <w:u w:val="single"/>
        </w:rPr>
        <w:t xml:space="preserve">haklarında hiçbir </w:t>
      </w:r>
      <w:r w:rsidR="00AF6591" w:rsidRPr="0079000B">
        <w:rPr>
          <w:rFonts w:ascii="Palatino Linotype" w:hAnsi="Palatino Linotype"/>
          <w:b/>
          <w:bCs/>
          <w:i/>
          <w:iCs/>
          <w:u w:val="single"/>
        </w:rPr>
        <w:lastRenderedPageBreak/>
        <w:t>yargılama yapılmaması gerektiğini vurgulamaktadır.</w:t>
      </w:r>
      <w:r w:rsidR="00AF6591" w:rsidRPr="0079000B">
        <w:rPr>
          <w:rFonts w:ascii="Palatino Linotype" w:hAnsi="Palatino Linotype"/>
          <w:i/>
          <w:iCs/>
        </w:rPr>
        <w:t xml:space="preserve"> Ancak her ikisi de sırasıyla Nisan ve Mayıs 2018'de suçlu bulunmuş ve mahkum edilmiştir. Kaynak (başvurucu), takibatların herhangi bir asgari uluslararası yasal süreç standardını karşılamadığını ileri sürmektedir. Türk Hükümeti bu iddiaya değinmemiştir.</w:t>
      </w:r>
      <w:r>
        <w:rPr>
          <w:rFonts w:ascii="Palatino Linotype" w:hAnsi="Palatino Linotype"/>
          <w:i/>
          <w:iCs/>
        </w:rPr>
        <w:t>”</w:t>
      </w:r>
    </w:p>
    <w:p w14:paraId="01F08659" w14:textId="77777777" w:rsidR="006B61B3" w:rsidRPr="00AF6591" w:rsidRDefault="000A1DDB" w:rsidP="0079000B">
      <w:pPr>
        <w:ind w:firstLine="567"/>
        <w:jc w:val="both"/>
        <w:rPr>
          <w:rFonts w:ascii="Palatino Linotype" w:hAnsi="Palatino Linotype"/>
        </w:rPr>
      </w:pPr>
      <w:r w:rsidRPr="00AF6591">
        <w:rPr>
          <w:rFonts w:ascii="Palatino Linotype" w:hAnsi="Palatino Linotype"/>
        </w:rPr>
        <w:t>BM bu kararı ile yapıldığı tarihte ve halen yasal olan faaliyetlerin suç olduğu kabulüne</w:t>
      </w:r>
      <w:r w:rsidR="006B61B3" w:rsidRPr="00AF6591">
        <w:rPr>
          <w:rFonts w:ascii="Palatino Linotype" w:hAnsi="Palatino Linotype"/>
        </w:rPr>
        <w:t xml:space="preserve"> dayalı yargılamalara açıkça karşı çıkmış ve bu yargılamaların hukuksuzluğunu ortaya koymuştur.</w:t>
      </w:r>
    </w:p>
    <w:p w14:paraId="0C0D8D1F" w14:textId="396695D9" w:rsidR="006B61B3" w:rsidRPr="00AF6591" w:rsidRDefault="006B61B3" w:rsidP="005B1C3A">
      <w:pPr>
        <w:ind w:firstLine="567"/>
        <w:jc w:val="both"/>
        <w:rPr>
          <w:rFonts w:ascii="Palatino Linotype" w:hAnsi="Palatino Linotype"/>
        </w:rPr>
      </w:pPr>
      <w:r w:rsidRPr="00AF6591">
        <w:rPr>
          <w:rFonts w:ascii="Palatino Linotype" w:hAnsi="Palatino Linotype"/>
        </w:rPr>
        <w:t>Kararla ilgili önemli bir diğer husus;</w:t>
      </w:r>
      <w:r w:rsidR="000A1DDB" w:rsidRPr="00AF6591">
        <w:rPr>
          <w:rFonts w:ascii="Palatino Linotype" w:hAnsi="Palatino Linotype"/>
        </w:rPr>
        <w:t xml:space="preserve"> </w:t>
      </w:r>
      <w:r w:rsidR="0079000B">
        <w:rPr>
          <w:rFonts w:ascii="Palatino Linotype" w:hAnsi="Palatino Linotype"/>
        </w:rPr>
        <w:t>güncel yargılamalar kapsamında</w:t>
      </w:r>
      <w:r w:rsidR="00842CAE" w:rsidRPr="00AF6591">
        <w:rPr>
          <w:rFonts w:ascii="Palatino Linotype" w:hAnsi="Palatino Linotype"/>
        </w:rPr>
        <w:t xml:space="preserve"> yargılanan </w:t>
      </w:r>
      <w:r w:rsidRPr="00AF6591">
        <w:rPr>
          <w:rFonts w:ascii="Palatino Linotype" w:hAnsi="Palatino Linotype"/>
        </w:rPr>
        <w:t>kişilerin sistema</w:t>
      </w:r>
      <w:r w:rsidR="000A1DDB" w:rsidRPr="00AF6591">
        <w:rPr>
          <w:rFonts w:ascii="Palatino Linotype" w:hAnsi="Palatino Linotype"/>
        </w:rPr>
        <w:t xml:space="preserve">tik olarak hedef alındığını ve bu gruba yönelik </w:t>
      </w:r>
      <w:r w:rsidRPr="00AF6591">
        <w:rPr>
          <w:rFonts w:ascii="Palatino Linotype" w:hAnsi="Palatino Linotype"/>
        </w:rPr>
        <w:t xml:space="preserve"> bir modelin/yöntemin (</w:t>
      </w:r>
      <w:proofErr w:type="spellStart"/>
      <w:r w:rsidRPr="00AF6591">
        <w:rPr>
          <w:rFonts w:ascii="Palatino Linotype" w:hAnsi="Palatino Linotype"/>
        </w:rPr>
        <w:t>pattern</w:t>
      </w:r>
      <w:proofErr w:type="spellEnd"/>
      <w:r w:rsidRPr="00AF6591">
        <w:rPr>
          <w:rFonts w:ascii="Palatino Linotype" w:hAnsi="Palatino Linotype"/>
        </w:rPr>
        <w:t>) bir modelin oluştuğunu kayda geçmiştir.</w:t>
      </w:r>
      <w:r w:rsidR="000A1DDB" w:rsidRPr="00AF6591">
        <w:rPr>
          <w:rFonts w:ascii="Palatino Linotype" w:hAnsi="Palatino Linotype"/>
        </w:rPr>
        <w:t xml:space="preserve"> Burada “model”</w:t>
      </w:r>
      <w:r w:rsidR="00842CAE" w:rsidRPr="00AF6591">
        <w:rPr>
          <w:rFonts w:ascii="Palatino Linotype" w:hAnsi="Palatino Linotype"/>
        </w:rPr>
        <w:t xml:space="preserve"> ifadesi</w:t>
      </w:r>
      <w:r w:rsidR="000A1DDB" w:rsidRPr="00AF6591">
        <w:rPr>
          <w:rFonts w:ascii="Palatino Linotype" w:hAnsi="Palatino Linotype"/>
        </w:rPr>
        <w:t xml:space="preserve"> sadece bu yargılamalara özgü yürürlükteki ceza ve usul yasalarında bulunmayan suç ve cezaların uygulandığ</w:t>
      </w:r>
      <w:r w:rsidR="00842CAE" w:rsidRPr="00AF6591">
        <w:rPr>
          <w:rFonts w:ascii="Palatino Linotype" w:hAnsi="Palatino Linotype"/>
        </w:rPr>
        <w:t xml:space="preserve">ı yargılama süreçlerini </w:t>
      </w:r>
      <w:r w:rsidR="0079000B">
        <w:rPr>
          <w:rFonts w:ascii="Palatino Linotype" w:hAnsi="Palatino Linotype"/>
        </w:rPr>
        <w:t xml:space="preserve">ifade etmektedir. Konuyla ilgili kararın 107. Paragrafında şu hususlara yer verilmiştir; </w:t>
      </w:r>
      <w:r w:rsidR="0079000B" w:rsidRPr="004666B4">
        <w:rPr>
          <w:rFonts w:ascii="Palatino Linotype" w:hAnsi="Palatino Linotype"/>
          <w:i/>
          <w:iCs/>
        </w:rPr>
        <w:t>“</w:t>
      </w:r>
      <w:r w:rsidR="004666B4" w:rsidRPr="004666B4">
        <w:rPr>
          <w:rFonts w:ascii="Palatino Linotype" w:hAnsi="Palatino Linotype"/>
          <w:i/>
          <w:iCs/>
        </w:rPr>
        <w:t>Çalışma Grubu, Türkiye'de Hizmet/Gülen hareketiyle bağlantılı olduğu iddia edilen kişileri hedef alan bir model/yöntem (</w:t>
      </w:r>
      <w:proofErr w:type="spellStart"/>
      <w:r w:rsidR="004666B4" w:rsidRPr="004666B4">
        <w:rPr>
          <w:rFonts w:ascii="Palatino Linotype" w:hAnsi="Palatino Linotype" w:cs="Segoe UI"/>
          <w:i/>
          <w:iCs/>
          <w:shd w:val="clear" w:color="auto" w:fill="FFFFFF"/>
        </w:rPr>
        <w:t>pattern</w:t>
      </w:r>
      <w:proofErr w:type="spellEnd"/>
      <w:r w:rsidR="004666B4" w:rsidRPr="004666B4">
        <w:rPr>
          <w:rFonts w:ascii="Palatino Linotype" w:hAnsi="Palatino Linotype" w:cs="Segoe UI"/>
          <w:i/>
          <w:iCs/>
          <w:shd w:val="clear" w:color="auto" w:fill="FFFFFF"/>
        </w:rPr>
        <w:t>)</w:t>
      </w:r>
      <w:r w:rsidR="004666B4" w:rsidRPr="004666B4">
        <w:rPr>
          <w:rFonts w:ascii="Palatino Linotype" w:hAnsi="Palatino Linotype"/>
          <w:i/>
          <w:iCs/>
        </w:rPr>
        <w:t xml:space="preserve"> buldu. Mevcut dava bu modelin bir parçasıdır. Bay Duman ve Bay Tibik, iddia edilen siyasi veya diğer görüşleri nedeniyle ayrımcılığa dayalı olarak Sözleşmenin 2 (1) ve 26. maddelerine aykırı olarak tutuklandı. Başvurucuların Türkiye'de tutuklulukları kategori V kapsamındadır. Çalışma Grubu bu davayı terörle mücadelede insan hakları ve temel özgürlüklerin geliştirilmesi ve korunmasına ilişkin Özel Raportör'e havale eder.”</w:t>
      </w:r>
    </w:p>
    <w:p w14:paraId="7EEB9DF2" w14:textId="436BF497" w:rsidR="006B61B3" w:rsidRDefault="006B61B3" w:rsidP="0079000B">
      <w:pPr>
        <w:ind w:firstLine="567"/>
        <w:jc w:val="both"/>
        <w:rPr>
          <w:rFonts w:ascii="Palatino Linotype" w:hAnsi="Palatino Linotype"/>
        </w:rPr>
      </w:pPr>
      <w:r w:rsidRPr="00AF6591">
        <w:rPr>
          <w:rFonts w:ascii="Palatino Linotype" w:hAnsi="Palatino Linotype"/>
        </w:rPr>
        <w:t>Bu karar mevcut yargılamalard</w:t>
      </w:r>
      <w:r w:rsidR="000A1DDB" w:rsidRPr="00AF6591">
        <w:rPr>
          <w:rFonts w:ascii="Palatino Linotype" w:hAnsi="Palatino Linotype"/>
        </w:rPr>
        <w:t xml:space="preserve">a delil kabul edilen hususların </w:t>
      </w:r>
      <w:r w:rsidRPr="00AF6591">
        <w:rPr>
          <w:rFonts w:ascii="Palatino Linotype" w:hAnsi="Palatino Linotype"/>
        </w:rPr>
        <w:t>temel hak ve hürriyetlerin kullanımından ibaret olduğunun ve hiçbir şekilde cezalandırmaya gerekçe yapılamayacağının teyididir.</w:t>
      </w:r>
    </w:p>
    <w:p w14:paraId="6733452F" w14:textId="13961B46" w:rsidR="008D7CF2" w:rsidRPr="008D7CF2" w:rsidRDefault="008D7CF2" w:rsidP="008D7CF2">
      <w:pPr>
        <w:ind w:firstLine="567"/>
        <w:jc w:val="both"/>
        <w:rPr>
          <w:rFonts w:ascii="Palatino Linotype" w:hAnsi="Palatino Linotype"/>
          <w:b/>
        </w:rPr>
      </w:pPr>
      <w:r w:rsidRPr="008D7CF2">
        <w:rPr>
          <w:rFonts w:ascii="Palatino Linotype" w:hAnsi="Palatino Linotype"/>
          <w:b/>
        </w:rPr>
        <w:t xml:space="preserve">AVRUPA İNSAN HAKLARI MAHKEMESİ ULUSOY VE DİĞERLERİ (73062/16) KARARI </w:t>
      </w:r>
    </w:p>
    <w:p w14:paraId="4BFA493A" w14:textId="0F82DEDC" w:rsidR="008D7CF2" w:rsidRPr="008D7CF2" w:rsidRDefault="008D7CF2" w:rsidP="008D7CF2">
      <w:pPr>
        <w:ind w:firstLine="567"/>
        <w:jc w:val="both"/>
        <w:rPr>
          <w:rFonts w:ascii="Palatino Linotype" w:hAnsi="Palatino Linotype"/>
        </w:rPr>
      </w:pPr>
      <w:r w:rsidRPr="008D7CF2">
        <w:rPr>
          <w:rFonts w:ascii="Palatino Linotype" w:hAnsi="Palatino Linotype"/>
        </w:rPr>
        <w:t xml:space="preserve">AİHM, </w:t>
      </w:r>
      <w:r>
        <w:rPr>
          <w:rFonts w:ascii="Palatino Linotype" w:hAnsi="Palatino Linotype"/>
        </w:rPr>
        <w:t xml:space="preserve">06/9/2022’de </w:t>
      </w:r>
      <w:r w:rsidRPr="008D7CF2">
        <w:rPr>
          <w:rFonts w:ascii="Palatino Linotype" w:hAnsi="Palatino Linotype"/>
        </w:rPr>
        <w:t xml:space="preserve">Turan ve Diğerleri Daire kararı ile çerçevesini çizdiği </w:t>
      </w:r>
      <w:r>
        <w:rPr>
          <w:rFonts w:ascii="Palatino Linotype" w:hAnsi="Palatino Linotype"/>
        </w:rPr>
        <w:t>h</w:t>
      </w:r>
      <w:r w:rsidRPr="008D7CF2">
        <w:rPr>
          <w:rFonts w:ascii="Palatino Linotype" w:hAnsi="Palatino Linotype"/>
        </w:rPr>
        <w:t>akim</w:t>
      </w:r>
      <w:r>
        <w:rPr>
          <w:rFonts w:ascii="Palatino Linotype" w:hAnsi="Palatino Linotype"/>
        </w:rPr>
        <w:t>-s</w:t>
      </w:r>
      <w:r w:rsidRPr="008D7CF2">
        <w:rPr>
          <w:rFonts w:ascii="Palatino Linotype" w:hAnsi="Palatino Linotype"/>
        </w:rPr>
        <w:t>avcı meslek grubunun haksız tutukluluk başvuruları hakkında dört karar daha ver</w:t>
      </w:r>
      <w:r>
        <w:rPr>
          <w:rFonts w:ascii="Palatino Linotype" w:hAnsi="Palatino Linotype"/>
        </w:rPr>
        <w:t>miş olup b</w:t>
      </w:r>
      <w:r w:rsidRPr="008D7CF2">
        <w:rPr>
          <w:rFonts w:ascii="Palatino Linotype" w:hAnsi="Palatino Linotype"/>
        </w:rPr>
        <w:t>u kararlar arasında</w:t>
      </w:r>
      <w:r>
        <w:rPr>
          <w:rFonts w:ascii="Palatino Linotype" w:hAnsi="Palatino Linotype"/>
        </w:rPr>
        <w:t xml:space="preserve"> yer alan</w:t>
      </w:r>
      <w:r w:rsidRPr="008D7CF2">
        <w:rPr>
          <w:rFonts w:ascii="Palatino Linotype" w:hAnsi="Palatino Linotype"/>
        </w:rPr>
        <w:t xml:space="preserve"> Ulusoy </w:t>
      </w:r>
      <w:r>
        <w:rPr>
          <w:rFonts w:ascii="Palatino Linotype" w:hAnsi="Palatino Linotype"/>
        </w:rPr>
        <w:t xml:space="preserve">başvurusunda </w:t>
      </w:r>
      <w:r w:rsidRPr="008D7CF2">
        <w:rPr>
          <w:rFonts w:ascii="Palatino Linotype" w:hAnsi="Palatino Linotype"/>
        </w:rPr>
        <w:t xml:space="preserve">karar sistematiği </w:t>
      </w:r>
      <w:r>
        <w:rPr>
          <w:rFonts w:ascii="Palatino Linotype" w:hAnsi="Palatino Linotype"/>
        </w:rPr>
        <w:t xml:space="preserve">açısından </w:t>
      </w:r>
      <w:r w:rsidRPr="008D7CF2">
        <w:rPr>
          <w:rFonts w:ascii="Palatino Linotype" w:hAnsi="Palatino Linotype"/>
        </w:rPr>
        <w:t xml:space="preserve">diğerlerinden farklı bir yol izlenmiştir. </w:t>
      </w:r>
      <w:r>
        <w:rPr>
          <w:rFonts w:ascii="Palatino Linotype" w:hAnsi="Palatino Linotype"/>
        </w:rPr>
        <w:t>Şöyle ki; k</w:t>
      </w:r>
      <w:r w:rsidRPr="008D7CF2">
        <w:rPr>
          <w:rFonts w:ascii="Palatino Linotype" w:hAnsi="Palatino Linotype"/>
        </w:rPr>
        <w:t xml:space="preserve">arara ekli başvurucu listesinde haksız tutukluluk için delil olarak kabul edilen unsurlar da listelenmiş ve </w:t>
      </w:r>
      <w:r w:rsidRPr="008D7CF2">
        <w:rPr>
          <w:rFonts w:ascii="Palatino Linotype" w:hAnsi="Palatino Linotype"/>
          <w:i/>
          <w:iCs/>
        </w:rPr>
        <w:t>“</w:t>
      </w:r>
      <w:r>
        <w:rPr>
          <w:rFonts w:ascii="Palatino Linotype" w:hAnsi="Palatino Linotype"/>
          <w:i/>
          <w:iCs/>
        </w:rPr>
        <w:t>i</w:t>
      </w:r>
      <w:r w:rsidRPr="008D7CF2">
        <w:rPr>
          <w:rFonts w:ascii="Palatino Linotype" w:hAnsi="Palatino Linotype"/>
          <w:i/>
          <w:iCs/>
        </w:rPr>
        <w:t>lk tutuklama aşamasında dayanılan delil”</w:t>
      </w:r>
      <w:r w:rsidRPr="008D7CF2">
        <w:rPr>
          <w:rFonts w:ascii="Palatino Linotype" w:hAnsi="Palatino Linotype"/>
        </w:rPr>
        <w:t xml:space="preserve"> adı altında bir sütun açılmış ve her</w:t>
      </w:r>
      <w:r>
        <w:rPr>
          <w:rFonts w:ascii="Palatino Linotype" w:hAnsi="Palatino Linotype"/>
        </w:rPr>
        <w:t xml:space="preserve"> </w:t>
      </w:r>
      <w:r w:rsidRPr="008D7CF2">
        <w:rPr>
          <w:rFonts w:ascii="Palatino Linotype" w:hAnsi="Palatino Linotype"/>
        </w:rPr>
        <w:t xml:space="preserve">bir başvurunun tutuklanmasında dayanılan delilde bu bölüme eklenmiştir. Bu deliller </w:t>
      </w:r>
      <w:r w:rsidRPr="008D7CF2">
        <w:rPr>
          <w:rFonts w:ascii="Palatino Linotype" w:hAnsi="Palatino Linotype"/>
          <w:i/>
          <w:iCs/>
        </w:rPr>
        <w:t>“HSYK kararı”</w:t>
      </w:r>
      <w:r w:rsidRPr="008D7CF2">
        <w:rPr>
          <w:rFonts w:ascii="Palatino Linotype" w:hAnsi="Palatino Linotype"/>
        </w:rPr>
        <w:t xml:space="preserve"> ve </w:t>
      </w:r>
      <w:r w:rsidRPr="008D7CF2">
        <w:rPr>
          <w:rFonts w:ascii="Palatino Linotype" w:hAnsi="Palatino Linotype"/>
          <w:i/>
          <w:iCs/>
        </w:rPr>
        <w:t xml:space="preserve">“Bylock Mesaj uygulaması” </w:t>
      </w:r>
      <w:r w:rsidRPr="008D7CF2">
        <w:rPr>
          <w:rFonts w:ascii="Palatino Linotype" w:hAnsi="Palatino Linotype"/>
        </w:rPr>
        <w:t xml:space="preserve">olarak iki başlık halinde verilmiştir. </w:t>
      </w:r>
    </w:p>
    <w:p w14:paraId="0DC14E79" w14:textId="367099ED" w:rsidR="008D7CF2" w:rsidRPr="008D7CF2" w:rsidRDefault="008D7CF2" w:rsidP="008D7CF2">
      <w:pPr>
        <w:jc w:val="both"/>
        <w:rPr>
          <w:rFonts w:ascii="Palatino Linotype" w:hAnsi="Palatino Linotype"/>
        </w:rPr>
      </w:pPr>
      <w:r w:rsidRPr="008D7CF2">
        <w:rPr>
          <w:rFonts w:ascii="Palatino Linotype" w:hAnsi="Palatino Linotype"/>
          <w:noProof/>
          <w:lang w:eastAsia="tr-TR"/>
        </w:rPr>
        <w:drawing>
          <wp:inline distT="0" distB="0" distL="0" distR="0" wp14:anchorId="5EE62DF2" wp14:editId="6C85E9C0">
            <wp:extent cx="5894070" cy="205740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94070" cy="2057400"/>
                    </a:xfrm>
                    <a:prstGeom prst="rect">
                      <a:avLst/>
                    </a:prstGeom>
                  </pic:spPr>
                </pic:pic>
              </a:graphicData>
            </a:graphic>
          </wp:inline>
        </w:drawing>
      </w:r>
    </w:p>
    <w:p w14:paraId="4BEC200B" w14:textId="07FC279E" w:rsidR="008D7CF2" w:rsidRPr="008D7CF2" w:rsidRDefault="008D7CF2" w:rsidP="002E2F89">
      <w:pPr>
        <w:ind w:firstLine="567"/>
        <w:jc w:val="both"/>
        <w:rPr>
          <w:rFonts w:ascii="Palatino Linotype" w:hAnsi="Palatino Linotype"/>
        </w:rPr>
      </w:pPr>
      <w:r w:rsidRPr="008D7CF2">
        <w:rPr>
          <w:rFonts w:ascii="Palatino Linotype" w:hAnsi="Palatino Linotype"/>
        </w:rPr>
        <w:lastRenderedPageBreak/>
        <w:t>Bu husus</w:t>
      </w:r>
      <w:r w:rsidR="002E2F89">
        <w:rPr>
          <w:rFonts w:ascii="Palatino Linotype" w:hAnsi="Palatino Linotype"/>
        </w:rPr>
        <w:t xml:space="preserve"> ile</w:t>
      </w:r>
      <w:r w:rsidRPr="008D7CF2">
        <w:rPr>
          <w:rFonts w:ascii="Palatino Linotype" w:hAnsi="Palatino Linotype"/>
        </w:rPr>
        <w:t xml:space="preserve"> BM Haksız Tutuklamalar Çalışma Grubunun</w:t>
      </w:r>
      <w:r w:rsidR="002E2F89">
        <w:rPr>
          <w:rFonts w:ascii="Palatino Linotype" w:hAnsi="Palatino Linotype"/>
        </w:rPr>
        <w:t>;</w:t>
      </w:r>
      <w:r w:rsidRPr="008D7CF2">
        <w:rPr>
          <w:rFonts w:ascii="Palatino Linotype" w:hAnsi="Palatino Linotype"/>
        </w:rPr>
        <w:t xml:space="preserve"> </w:t>
      </w:r>
      <w:r w:rsidRPr="002E2F89">
        <w:rPr>
          <w:rFonts w:ascii="Palatino Linotype" w:hAnsi="Palatino Linotype"/>
          <w:i/>
          <w:iCs/>
        </w:rPr>
        <w:t>“Bylock kullanma yargılama nedeni dahi yapılamaz”</w:t>
      </w:r>
      <w:r w:rsidRPr="008D7CF2">
        <w:rPr>
          <w:rFonts w:ascii="Palatino Linotype" w:hAnsi="Palatino Linotype"/>
        </w:rPr>
        <w:t xml:space="preserve"> diyerek bu konudaki hukuksuzluğu daha güçlü tespit ettiği (</w:t>
      </w:r>
      <w:proofErr w:type="spellStart"/>
      <w:r w:rsidRPr="008D7CF2">
        <w:rPr>
          <w:rFonts w:ascii="Palatino Linotype" w:hAnsi="Palatino Linotype"/>
        </w:rPr>
        <w:t>Opinion</w:t>
      </w:r>
      <w:proofErr w:type="spellEnd"/>
      <w:r w:rsidRPr="008D7CF2">
        <w:rPr>
          <w:rFonts w:ascii="Palatino Linotype" w:hAnsi="Palatino Linotype"/>
        </w:rPr>
        <w:t xml:space="preserve"> 8/2022 Alettin Duman ve Tamer Tibik) kararı birlikte </w:t>
      </w:r>
      <w:r w:rsidR="002E2F89">
        <w:rPr>
          <w:rFonts w:ascii="Palatino Linotype" w:hAnsi="Palatino Linotype"/>
        </w:rPr>
        <w:t>değerlendirildiğinde;</w:t>
      </w:r>
      <w:r w:rsidRPr="008D7CF2">
        <w:rPr>
          <w:rFonts w:ascii="Palatino Linotype" w:hAnsi="Palatino Linotype"/>
        </w:rPr>
        <w:t xml:space="preserve"> </w:t>
      </w:r>
      <w:r w:rsidRPr="002E2F89">
        <w:rPr>
          <w:rFonts w:ascii="Palatino Linotype" w:hAnsi="Palatino Linotype"/>
          <w:i/>
          <w:iCs/>
        </w:rPr>
        <w:t>“</w:t>
      </w:r>
      <w:r w:rsidR="002E2F89" w:rsidRPr="002E2F89">
        <w:rPr>
          <w:rFonts w:ascii="Palatino Linotype" w:hAnsi="Palatino Linotype"/>
          <w:i/>
          <w:iCs/>
        </w:rPr>
        <w:t>t</w:t>
      </w:r>
      <w:r w:rsidRPr="002E2F89">
        <w:rPr>
          <w:rFonts w:ascii="Palatino Linotype" w:hAnsi="Palatino Linotype"/>
          <w:i/>
          <w:iCs/>
        </w:rPr>
        <w:t xml:space="preserve">utuklama haksızdır ve tutuklamaya dayanak teşkil eden </w:t>
      </w:r>
      <w:r w:rsidR="002E2F89" w:rsidRPr="002E2F89">
        <w:rPr>
          <w:rFonts w:ascii="Palatino Linotype" w:hAnsi="Palatino Linotype"/>
          <w:i/>
          <w:iCs/>
        </w:rPr>
        <w:t>B</w:t>
      </w:r>
      <w:r w:rsidRPr="002E2F89">
        <w:rPr>
          <w:rFonts w:ascii="Palatino Linotype" w:hAnsi="Palatino Linotype"/>
          <w:i/>
          <w:iCs/>
        </w:rPr>
        <w:t xml:space="preserve">ylock </w:t>
      </w:r>
      <w:r w:rsidR="002E2F89" w:rsidRPr="002E2F89">
        <w:rPr>
          <w:rFonts w:ascii="Palatino Linotype" w:hAnsi="Palatino Linotype"/>
          <w:i/>
          <w:iCs/>
        </w:rPr>
        <w:t>tu</w:t>
      </w:r>
      <w:r w:rsidRPr="002E2F89">
        <w:rPr>
          <w:rFonts w:ascii="Palatino Linotype" w:hAnsi="Palatino Linotype"/>
          <w:i/>
          <w:iCs/>
        </w:rPr>
        <w:t>tuklama için yeterli bir delil değildir”</w:t>
      </w:r>
      <w:r w:rsidRPr="008D7CF2">
        <w:rPr>
          <w:rFonts w:ascii="Palatino Linotype" w:hAnsi="Palatino Linotype"/>
        </w:rPr>
        <w:t xml:space="preserve"> yaklaşımı artık şüphe götürmez bir şekilde pekiştir</w:t>
      </w:r>
      <w:r w:rsidR="002E2F89">
        <w:rPr>
          <w:rFonts w:ascii="Palatino Linotype" w:hAnsi="Palatino Linotype"/>
        </w:rPr>
        <w:t>ilmiştir</w:t>
      </w:r>
      <w:r w:rsidRPr="008D7CF2">
        <w:rPr>
          <w:rFonts w:ascii="Palatino Linotype" w:hAnsi="Palatino Linotype"/>
        </w:rPr>
        <w:t xml:space="preserve">.  </w:t>
      </w:r>
    </w:p>
    <w:p w14:paraId="3C9626A7" w14:textId="21D40648" w:rsidR="008D7CF2" w:rsidRPr="008D7CF2" w:rsidRDefault="008D7CF2" w:rsidP="002E2F89">
      <w:pPr>
        <w:ind w:firstLine="567"/>
        <w:jc w:val="both"/>
        <w:rPr>
          <w:rFonts w:ascii="Palatino Linotype" w:hAnsi="Palatino Linotype"/>
        </w:rPr>
      </w:pPr>
      <w:r w:rsidRPr="008D7CF2">
        <w:rPr>
          <w:rFonts w:ascii="Palatino Linotype" w:hAnsi="Palatino Linotype"/>
        </w:rPr>
        <w:t>Bu durum Bylock’un hukuka aykırı delil niteliğinin hem Birleşmiş Milletler hem de Avrupa Konseyi gibi taraf olduğumuz iki en önemli uluslararası oluşumun yargısal kurumları tarafından hukuken tespit edildiği anlamına gel</w:t>
      </w:r>
      <w:r w:rsidR="002E2F89">
        <w:rPr>
          <w:rFonts w:ascii="Palatino Linotype" w:hAnsi="Palatino Linotype"/>
        </w:rPr>
        <w:t>mektedir.</w:t>
      </w:r>
      <w:r w:rsidRPr="008D7CF2">
        <w:rPr>
          <w:rFonts w:ascii="Palatino Linotype" w:hAnsi="Palatino Linotype"/>
        </w:rPr>
        <w:t xml:space="preserve"> </w:t>
      </w:r>
    </w:p>
    <w:p w14:paraId="1F930BAA" w14:textId="24E94A9D" w:rsidR="008D7CF2" w:rsidRPr="008D7CF2" w:rsidRDefault="008D7CF2" w:rsidP="002E2F89">
      <w:pPr>
        <w:ind w:firstLine="567"/>
        <w:jc w:val="both"/>
        <w:rPr>
          <w:rFonts w:ascii="Palatino Linotype" w:hAnsi="Palatino Linotype"/>
        </w:rPr>
      </w:pPr>
      <w:r w:rsidRPr="008D7CF2">
        <w:rPr>
          <w:rFonts w:ascii="Palatino Linotype" w:hAnsi="Palatino Linotype"/>
        </w:rPr>
        <w:t>B</w:t>
      </w:r>
      <w:r w:rsidR="002E2F89">
        <w:rPr>
          <w:rFonts w:ascii="Palatino Linotype" w:hAnsi="Palatino Linotype"/>
        </w:rPr>
        <w:t>ylock’un</w:t>
      </w:r>
      <w:r w:rsidRPr="008D7CF2">
        <w:rPr>
          <w:rFonts w:ascii="Palatino Linotype" w:hAnsi="Palatino Linotype"/>
        </w:rPr>
        <w:t xml:space="preserve"> yargılama aşamasında </w:t>
      </w:r>
      <w:r w:rsidR="000E5E0F">
        <w:rPr>
          <w:rFonts w:ascii="Palatino Linotype" w:hAnsi="Palatino Linotype"/>
        </w:rPr>
        <w:t xml:space="preserve">ve </w:t>
      </w:r>
      <w:r w:rsidRPr="008D7CF2">
        <w:rPr>
          <w:rFonts w:ascii="Palatino Linotype" w:hAnsi="Palatino Linotype"/>
        </w:rPr>
        <w:t xml:space="preserve">hüküm verilirken </w:t>
      </w:r>
      <w:r w:rsidR="000E5E0F">
        <w:rPr>
          <w:rFonts w:ascii="Palatino Linotype" w:hAnsi="Palatino Linotype"/>
        </w:rPr>
        <w:t>ana delil</w:t>
      </w:r>
      <w:r w:rsidRPr="008D7CF2">
        <w:rPr>
          <w:rFonts w:ascii="Palatino Linotype" w:hAnsi="Palatino Linotype"/>
        </w:rPr>
        <w:t xml:space="preserve"> kabul edildiği dikkate alındığında</w:t>
      </w:r>
      <w:r w:rsidR="000E5E0F">
        <w:rPr>
          <w:rFonts w:ascii="Palatino Linotype" w:hAnsi="Palatino Linotype"/>
        </w:rPr>
        <w:t>,</w:t>
      </w:r>
      <w:r w:rsidRPr="008D7CF2">
        <w:rPr>
          <w:rFonts w:ascii="Palatino Linotype" w:hAnsi="Palatino Linotype"/>
        </w:rPr>
        <w:t xml:space="preserve"> </w:t>
      </w:r>
      <w:r w:rsidR="000E5E0F">
        <w:rPr>
          <w:rFonts w:ascii="Palatino Linotype" w:hAnsi="Palatino Linotype"/>
        </w:rPr>
        <w:t>O</w:t>
      </w:r>
      <w:r w:rsidRPr="008D7CF2">
        <w:rPr>
          <w:rFonts w:ascii="Palatino Linotype" w:hAnsi="Palatino Linotype"/>
        </w:rPr>
        <w:t>cak</w:t>
      </w:r>
      <w:r w:rsidR="000E5E0F">
        <w:rPr>
          <w:rFonts w:ascii="Palatino Linotype" w:hAnsi="Palatino Linotype"/>
        </w:rPr>
        <w:t xml:space="preserve"> 20223’te </w:t>
      </w:r>
      <w:r w:rsidRPr="008D7CF2">
        <w:rPr>
          <w:rFonts w:ascii="Palatino Linotype" w:hAnsi="Palatino Linotype"/>
        </w:rPr>
        <w:t>duruşması yapıl</w:t>
      </w:r>
      <w:r w:rsidR="000E5E0F">
        <w:rPr>
          <w:rFonts w:ascii="Palatino Linotype" w:hAnsi="Palatino Linotype"/>
        </w:rPr>
        <w:t>acak</w:t>
      </w:r>
      <w:r w:rsidRPr="008D7CF2">
        <w:rPr>
          <w:rFonts w:ascii="Palatino Linotype" w:hAnsi="Palatino Linotype"/>
        </w:rPr>
        <w:t xml:space="preserve"> Yalçınkaya başvurusunda </w:t>
      </w:r>
      <w:r w:rsidR="000E5E0F">
        <w:rPr>
          <w:rFonts w:ascii="Palatino Linotype" w:hAnsi="Palatino Linotype"/>
        </w:rPr>
        <w:t xml:space="preserve">AİHM’in </w:t>
      </w:r>
      <w:r w:rsidRPr="008D7CF2">
        <w:rPr>
          <w:rFonts w:ascii="Palatino Linotype" w:hAnsi="Palatino Linotype"/>
        </w:rPr>
        <w:t xml:space="preserve">bu </w:t>
      </w:r>
      <w:r w:rsidR="000E5E0F">
        <w:rPr>
          <w:rFonts w:ascii="Palatino Linotype" w:hAnsi="Palatino Linotype"/>
        </w:rPr>
        <w:t>kez de B</w:t>
      </w:r>
      <w:r w:rsidRPr="008D7CF2">
        <w:rPr>
          <w:rFonts w:ascii="Palatino Linotype" w:hAnsi="Palatino Linotype"/>
        </w:rPr>
        <w:t>ylock</w:t>
      </w:r>
      <w:r w:rsidR="000E5E0F">
        <w:rPr>
          <w:rFonts w:ascii="Palatino Linotype" w:hAnsi="Palatino Linotype"/>
        </w:rPr>
        <w:t>’un</w:t>
      </w:r>
      <w:r w:rsidRPr="008D7CF2">
        <w:rPr>
          <w:rFonts w:ascii="Palatino Linotype" w:hAnsi="Palatino Linotype"/>
        </w:rPr>
        <w:t xml:space="preserve"> terör örgütü üyeliği için yeterli delil oluşturmadığının tespit edilmesi kuvvetle muhtemeldir. </w:t>
      </w:r>
    </w:p>
    <w:p w14:paraId="30175C41" w14:textId="4FFCA293" w:rsidR="000A1DDB" w:rsidRPr="00AF6591" w:rsidRDefault="000A1DDB" w:rsidP="0079000B">
      <w:pPr>
        <w:ind w:firstLine="567"/>
        <w:jc w:val="both"/>
        <w:rPr>
          <w:rFonts w:ascii="Palatino Linotype" w:hAnsi="Palatino Linotype"/>
        </w:rPr>
      </w:pPr>
      <w:r w:rsidRPr="00AF6591">
        <w:rPr>
          <w:rFonts w:ascii="Palatino Linotype" w:hAnsi="Palatino Linotype"/>
          <w:b/>
        </w:rPr>
        <w:t>SONUÇ VE İSTEM:</w:t>
      </w:r>
      <w:r w:rsidRPr="00AF6591">
        <w:rPr>
          <w:rFonts w:ascii="Palatino Linotype" w:hAnsi="Palatino Linotype"/>
        </w:rPr>
        <w:t xml:space="preserve"> Söz konusu kararda hukuka aykırılığı tarafı olduğumuz BM’nin bir kurumu tarafından tespit edilen </w:t>
      </w:r>
      <w:r w:rsidRPr="004666B4">
        <w:rPr>
          <w:rFonts w:ascii="Palatino Linotype" w:hAnsi="Palatino Linotype"/>
          <w:highlight w:val="yellow"/>
        </w:rPr>
        <w:t>(Bylock kullanma, Banka Asya Hesabı olma…….)</w:t>
      </w:r>
      <w:r w:rsidRPr="00AF6591">
        <w:rPr>
          <w:rFonts w:ascii="Palatino Linotype" w:hAnsi="Palatino Linotype"/>
        </w:rPr>
        <w:t xml:space="preserve"> hususları Mahkemeniz önünde derdest dosyamda da hukuki bir suç delili olarak öne sürülmüştür. İlgili karardaki yaklaşım göz önünde bulundurularak bu eylemlerin hakkımdaki yargılamada suçun </w:t>
      </w:r>
      <w:r w:rsidR="00842CAE" w:rsidRPr="00AF6591">
        <w:rPr>
          <w:rFonts w:ascii="Palatino Linotype" w:hAnsi="Palatino Linotype"/>
        </w:rPr>
        <w:t>sübutuna</w:t>
      </w:r>
      <w:r w:rsidRPr="00AF6591">
        <w:rPr>
          <w:rFonts w:ascii="Palatino Linotype" w:hAnsi="Palatino Linotype"/>
        </w:rPr>
        <w:t xml:space="preserve"> delil teşkil eden </w:t>
      </w:r>
      <w:r w:rsidR="004666B4" w:rsidRPr="00AF6591">
        <w:rPr>
          <w:rFonts w:ascii="Palatino Linotype" w:hAnsi="Palatino Linotype"/>
        </w:rPr>
        <w:t>fiiller</w:t>
      </w:r>
      <w:r w:rsidRPr="00AF6591">
        <w:rPr>
          <w:rFonts w:ascii="Palatino Linotype" w:hAnsi="Palatino Linotype"/>
        </w:rPr>
        <w:t xml:space="preserve"> olarak değerlendirilmeyerek, </w:t>
      </w:r>
      <w:r w:rsidRPr="004666B4">
        <w:rPr>
          <w:rFonts w:ascii="Palatino Linotype" w:hAnsi="Palatino Linotype"/>
          <w:highlight w:val="yellow"/>
        </w:rPr>
        <w:t>tahliyeme</w:t>
      </w:r>
      <w:r w:rsidR="004666B4" w:rsidRPr="004666B4">
        <w:rPr>
          <w:rFonts w:ascii="Palatino Linotype" w:hAnsi="Palatino Linotype"/>
          <w:highlight w:val="yellow"/>
        </w:rPr>
        <w:t>/</w:t>
      </w:r>
      <w:r w:rsidRPr="004666B4">
        <w:rPr>
          <w:rFonts w:ascii="Palatino Linotype" w:hAnsi="Palatino Linotype"/>
          <w:highlight w:val="yellow"/>
        </w:rPr>
        <w:t>beraatime</w:t>
      </w:r>
      <w:r w:rsidR="004666B4" w:rsidRPr="004666B4">
        <w:rPr>
          <w:rFonts w:ascii="Palatino Linotype" w:hAnsi="Palatino Linotype"/>
          <w:highlight w:val="yellow"/>
        </w:rPr>
        <w:t>/davamın</w:t>
      </w:r>
      <w:r w:rsidR="00C14C72">
        <w:rPr>
          <w:rFonts w:ascii="Palatino Linotype" w:hAnsi="Palatino Linotype"/>
          <w:highlight w:val="yellow"/>
        </w:rPr>
        <w:t>/başvurumun</w:t>
      </w:r>
      <w:r w:rsidR="004666B4" w:rsidRPr="004666B4">
        <w:rPr>
          <w:rFonts w:ascii="Palatino Linotype" w:hAnsi="Palatino Linotype"/>
          <w:highlight w:val="yellow"/>
        </w:rPr>
        <w:t xml:space="preserve"> kabulüne</w:t>
      </w:r>
      <w:r w:rsidRPr="00AF6591">
        <w:rPr>
          <w:rFonts w:ascii="Palatino Linotype" w:hAnsi="Palatino Linotype"/>
        </w:rPr>
        <w:t xml:space="preserve">  karar verilmesini talep ederim.   </w:t>
      </w:r>
      <w:r w:rsidR="004666B4">
        <w:rPr>
          <w:rFonts w:ascii="Palatino Linotype" w:hAnsi="Palatino Linotype"/>
        </w:rPr>
        <w:t>…</w:t>
      </w:r>
      <w:r w:rsidRPr="00AF6591">
        <w:rPr>
          <w:rFonts w:ascii="Palatino Linotype" w:hAnsi="Palatino Linotype"/>
        </w:rPr>
        <w:t>/</w:t>
      </w:r>
      <w:r w:rsidR="004666B4">
        <w:rPr>
          <w:rFonts w:ascii="Palatino Linotype" w:hAnsi="Palatino Linotype"/>
        </w:rPr>
        <w:t>…</w:t>
      </w:r>
      <w:r w:rsidRPr="00AF6591">
        <w:rPr>
          <w:rFonts w:ascii="Palatino Linotype" w:hAnsi="Palatino Linotype"/>
        </w:rPr>
        <w:t>/</w:t>
      </w:r>
      <w:r w:rsidR="004666B4">
        <w:rPr>
          <w:rFonts w:ascii="Palatino Linotype" w:hAnsi="Palatino Linotype"/>
        </w:rPr>
        <w:t>…</w:t>
      </w:r>
    </w:p>
    <w:p w14:paraId="4C1C6FB3" w14:textId="77777777" w:rsidR="004666B4" w:rsidRDefault="004666B4" w:rsidP="004666B4">
      <w:pPr>
        <w:ind w:left="708" w:firstLine="708"/>
        <w:jc w:val="both"/>
        <w:rPr>
          <w:rFonts w:ascii="Palatino Linotype" w:hAnsi="Palatino Linotype"/>
        </w:rPr>
      </w:pPr>
    </w:p>
    <w:p w14:paraId="6C4EE5DD" w14:textId="77777777" w:rsidR="004666B4" w:rsidRDefault="004666B4" w:rsidP="004666B4">
      <w:pPr>
        <w:ind w:left="708" w:firstLine="708"/>
        <w:jc w:val="both"/>
        <w:rPr>
          <w:rFonts w:ascii="Palatino Linotype" w:hAnsi="Palatino Linotype"/>
        </w:rPr>
      </w:pPr>
    </w:p>
    <w:p w14:paraId="0B3AEF86" w14:textId="79F5F898" w:rsidR="000A1DDB" w:rsidRPr="004666B4" w:rsidRDefault="000A1DDB" w:rsidP="004666B4">
      <w:pPr>
        <w:ind w:left="7080" w:firstLine="708"/>
        <w:jc w:val="both"/>
        <w:rPr>
          <w:rFonts w:ascii="Palatino Linotype" w:hAnsi="Palatino Linotype"/>
          <w:b/>
          <w:bCs/>
        </w:rPr>
      </w:pPr>
      <w:r w:rsidRPr="004666B4">
        <w:rPr>
          <w:rFonts w:ascii="Palatino Linotype" w:hAnsi="Palatino Linotype"/>
          <w:b/>
          <w:bCs/>
        </w:rPr>
        <w:t xml:space="preserve">Sanık </w:t>
      </w:r>
    </w:p>
    <w:p w14:paraId="6F03AD36" w14:textId="7BBCE4A6" w:rsidR="000A1DDB" w:rsidRPr="004666B4" w:rsidRDefault="000A1DDB" w:rsidP="004666B4">
      <w:pPr>
        <w:ind w:left="7080"/>
        <w:jc w:val="both"/>
        <w:rPr>
          <w:rFonts w:ascii="Palatino Linotype" w:hAnsi="Palatino Linotype"/>
          <w:b/>
          <w:bCs/>
        </w:rPr>
      </w:pPr>
      <w:r w:rsidRPr="004666B4">
        <w:rPr>
          <w:rFonts w:ascii="Palatino Linotype" w:hAnsi="Palatino Linotype"/>
          <w:b/>
          <w:bCs/>
        </w:rPr>
        <w:t xml:space="preserve">Sanık </w:t>
      </w:r>
      <w:r w:rsidR="004666B4" w:rsidRPr="004666B4">
        <w:rPr>
          <w:rFonts w:ascii="Palatino Linotype" w:hAnsi="Palatino Linotype"/>
          <w:b/>
          <w:bCs/>
        </w:rPr>
        <w:t>vekili</w:t>
      </w:r>
      <w:r w:rsidRPr="004666B4">
        <w:rPr>
          <w:rFonts w:ascii="Palatino Linotype" w:hAnsi="Palatino Linotype"/>
          <w:b/>
          <w:bCs/>
        </w:rPr>
        <w:t>. Av.</w:t>
      </w:r>
    </w:p>
    <w:p w14:paraId="7B18E008" w14:textId="77777777" w:rsidR="00842CAE" w:rsidRPr="004666B4" w:rsidRDefault="00842CAE" w:rsidP="004666B4">
      <w:pPr>
        <w:ind w:left="7080" w:firstLine="708"/>
        <w:jc w:val="both"/>
        <w:rPr>
          <w:rFonts w:ascii="Palatino Linotype" w:hAnsi="Palatino Linotype"/>
          <w:b/>
          <w:bCs/>
        </w:rPr>
      </w:pPr>
      <w:r w:rsidRPr="004666B4">
        <w:rPr>
          <w:rFonts w:ascii="Palatino Linotype" w:hAnsi="Palatino Linotype"/>
          <w:b/>
          <w:bCs/>
        </w:rPr>
        <w:t xml:space="preserve">Davacı </w:t>
      </w:r>
    </w:p>
    <w:p w14:paraId="04579702" w14:textId="77777777" w:rsidR="00842CAE" w:rsidRPr="00AF6591" w:rsidRDefault="00842CAE" w:rsidP="00AF6591">
      <w:pPr>
        <w:jc w:val="both"/>
        <w:rPr>
          <w:rFonts w:ascii="Palatino Linotype" w:hAnsi="Palatino Linotype"/>
        </w:rPr>
      </w:pPr>
    </w:p>
    <w:p w14:paraId="2F48E432" w14:textId="29D538DC" w:rsidR="000A1DDB" w:rsidRDefault="000A1DDB" w:rsidP="00AF6591">
      <w:pPr>
        <w:jc w:val="both"/>
        <w:rPr>
          <w:rFonts w:ascii="Palatino Linotype" w:hAnsi="Palatino Linotype"/>
        </w:rPr>
      </w:pPr>
    </w:p>
    <w:p w14:paraId="73F32736" w14:textId="24E02C19" w:rsidR="004666B4" w:rsidRPr="00AF6591" w:rsidRDefault="004666B4" w:rsidP="00AF6591">
      <w:pPr>
        <w:jc w:val="both"/>
        <w:rPr>
          <w:rFonts w:ascii="Palatino Linotype" w:hAnsi="Palatino Linotype"/>
        </w:rPr>
      </w:pPr>
    </w:p>
    <w:sectPr w:rsidR="004666B4" w:rsidRPr="00AF6591" w:rsidSect="00C14C7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872B" w14:textId="77777777" w:rsidR="009C501E" w:rsidRDefault="009C501E" w:rsidP="006B61B3">
      <w:pPr>
        <w:spacing w:after="0" w:line="240" w:lineRule="auto"/>
      </w:pPr>
      <w:r>
        <w:separator/>
      </w:r>
    </w:p>
  </w:endnote>
  <w:endnote w:type="continuationSeparator" w:id="0">
    <w:p w14:paraId="44211581" w14:textId="77777777" w:rsidR="009C501E" w:rsidRDefault="009C501E" w:rsidP="006B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38E8" w14:textId="77777777" w:rsidR="009C501E" w:rsidRDefault="009C501E" w:rsidP="006B61B3">
      <w:pPr>
        <w:spacing w:after="0" w:line="240" w:lineRule="auto"/>
      </w:pPr>
      <w:r>
        <w:separator/>
      </w:r>
    </w:p>
  </w:footnote>
  <w:footnote w:type="continuationSeparator" w:id="0">
    <w:p w14:paraId="20843EC0" w14:textId="77777777" w:rsidR="009C501E" w:rsidRDefault="009C501E" w:rsidP="006B6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DE"/>
    <w:rsid w:val="000A1DDB"/>
    <w:rsid w:val="000E5E0F"/>
    <w:rsid w:val="002E2F89"/>
    <w:rsid w:val="00313675"/>
    <w:rsid w:val="004666B4"/>
    <w:rsid w:val="005B1C3A"/>
    <w:rsid w:val="005D41DE"/>
    <w:rsid w:val="00693CE0"/>
    <w:rsid w:val="006B61B3"/>
    <w:rsid w:val="0079000B"/>
    <w:rsid w:val="00801EA6"/>
    <w:rsid w:val="00842CAE"/>
    <w:rsid w:val="008D7CF2"/>
    <w:rsid w:val="008E1FF9"/>
    <w:rsid w:val="009C501E"/>
    <w:rsid w:val="00A577C4"/>
    <w:rsid w:val="00AF6591"/>
    <w:rsid w:val="00C14C72"/>
    <w:rsid w:val="00EB12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4F14"/>
  <w15:chartTrackingRefBased/>
  <w15:docId w15:val="{1A62B729-5598-4C76-AD5B-C18A6C25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1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1B3"/>
  </w:style>
  <w:style w:type="paragraph" w:styleId="AltBilgi">
    <w:name w:val="footer"/>
    <w:basedOn w:val="Normal"/>
    <w:link w:val="AltBilgiChar"/>
    <w:uiPriority w:val="99"/>
    <w:unhideWhenUsed/>
    <w:rsid w:val="006B61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2</cp:revision>
  <dcterms:created xsi:type="dcterms:W3CDTF">2022-09-06T18:40:00Z</dcterms:created>
  <dcterms:modified xsi:type="dcterms:W3CDTF">2022-09-06T18:40:00Z</dcterms:modified>
</cp:coreProperties>
</file>