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C0BC" w14:textId="77777777" w:rsidR="005B1E10" w:rsidRPr="00944B91" w:rsidRDefault="005B1E10" w:rsidP="005B1E10">
      <w:pPr>
        <w:jc w:val="center"/>
        <w:rPr>
          <w:rFonts w:ascii="Palatino Linotype" w:hAnsi="Palatino Linotype"/>
          <w:b/>
        </w:rPr>
      </w:pPr>
      <w:r w:rsidRPr="00944B91">
        <w:rPr>
          <w:rFonts w:ascii="Palatino Linotype" w:hAnsi="Palatino Linotype"/>
          <w:b/>
        </w:rPr>
        <w:t>ANAYASA MAHKEMESİ BAŞKANLIĞI’NA</w:t>
      </w:r>
    </w:p>
    <w:p w14:paraId="0984B535" w14:textId="77777777" w:rsidR="005B1E10" w:rsidRPr="00944B91" w:rsidRDefault="005B1E10" w:rsidP="005B1E10">
      <w:pPr>
        <w:jc w:val="center"/>
        <w:rPr>
          <w:rFonts w:ascii="Palatino Linotype" w:hAnsi="Palatino Linotype"/>
          <w:b/>
        </w:rPr>
      </w:pPr>
      <w:r w:rsidRPr="00944B91">
        <w:rPr>
          <w:rFonts w:ascii="Palatino Linotype" w:hAnsi="Palatino Linotype"/>
          <w:b/>
        </w:rPr>
        <w:t>YARGITAY   …... CEZA DAİRESİ BAŞKANLIĞI’NA</w:t>
      </w:r>
    </w:p>
    <w:p w14:paraId="43285B9D" w14:textId="77777777" w:rsidR="005B1E10" w:rsidRPr="00944B91" w:rsidRDefault="005B1E10" w:rsidP="005B1E10">
      <w:pPr>
        <w:jc w:val="center"/>
        <w:rPr>
          <w:rFonts w:ascii="Palatino Linotype" w:hAnsi="Palatino Linotype"/>
          <w:b/>
        </w:rPr>
      </w:pPr>
      <w:r w:rsidRPr="00944B91">
        <w:rPr>
          <w:rFonts w:ascii="Palatino Linotype" w:hAnsi="Palatino Linotype"/>
          <w:b/>
        </w:rPr>
        <w:t>……BÖLGE ADLİYE MAHKEMESİ BAŞKANLIĞI’NA</w:t>
      </w:r>
    </w:p>
    <w:p w14:paraId="7E4F7A10" w14:textId="2912B2BF" w:rsidR="004A7F28" w:rsidRDefault="005B1E10" w:rsidP="005B1E10">
      <w:pPr>
        <w:jc w:val="center"/>
        <w:rPr>
          <w:rFonts w:ascii="Palatino Linotype" w:hAnsi="Palatino Linotype"/>
          <w:b/>
        </w:rPr>
      </w:pPr>
      <w:r w:rsidRPr="00944B91">
        <w:rPr>
          <w:rFonts w:ascii="Palatino Linotype" w:hAnsi="Palatino Linotype"/>
          <w:b/>
        </w:rPr>
        <w:t>…AĞIR CEZA MAHKEMESİ BAŞKANLIĞI’NA</w:t>
      </w:r>
    </w:p>
    <w:p w14:paraId="4D601DC1" w14:textId="7B62632E" w:rsidR="001F39D2" w:rsidRDefault="001F39D2" w:rsidP="005B1E10">
      <w:pPr>
        <w:jc w:val="center"/>
        <w:rPr>
          <w:rFonts w:ascii="Palatino Linotype" w:hAnsi="Palatino Linotype"/>
          <w:b/>
        </w:rPr>
      </w:pPr>
    </w:p>
    <w:p w14:paraId="4A0AA475" w14:textId="4C305A64" w:rsidR="004A7F28" w:rsidRPr="001F39D2" w:rsidRDefault="001F39D2" w:rsidP="004A7F28">
      <w:pPr>
        <w:rPr>
          <w:rFonts w:ascii="Palatino Linotype" w:hAnsi="Palatino Linotype"/>
          <w:b/>
          <w:bCs/>
        </w:rPr>
      </w:pPr>
      <w:r w:rsidRPr="001F39D2">
        <w:rPr>
          <w:rFonts w:ascii="Palatino Linotype" w:hAnsi="Palatino Linotype"/>
          <w:b/>
          <w:bCs/>
          <w:highlight w:val="yellow"/>
        </w:rPr>
        <w:t>Dosya/Esas No:</w:t>
      </w:r>
    </w:p>
    <w:p w14:paraId="15540508" w14:textId="63A15ECB" w:rsidR="00B31163" w:rsidRPr="00944B91" w:rsidRDefault="00086238" w:rsidP="00B31163">
      <w:pPr>
        <w:jc w:val="both"/>
        <w:rPr>
          <w:rFonts w:ascii="Palatino Linotype" w:hAnsi="Palatino Linotype"/>
        </w:rPr>
      </w:pPr>
      <w:r w:rsidRPr="00944B91">
        <w:rPr>
          <w:rFonts w:ascii="Palatino Linotype" w:hAnsi="Palatino Linotype"/>
          <w:b/>
        </w:rPr>
        <w:t xml:space="preserve">KONU: </w:t>
      </w:r>
      <w:r w:rsidR="006E16AB" w:rsidRPr="00944B91">
        <w:rPr>
          <w:rFonts w:ascii="Palatino Linotype" w:hAnsi="Palatino Linotype"/>
        </w:rPr>
        <w:t>Uluslararası Af Örgütü (Amnesty</w:t>
      </w:r>
      <w:r w:rsidR="002F6394" w:rsidRPr="00944B91">
        <w:rPr>
          <w:rFonts w:ascii="Palatino Linotype" w:hAnsi="Palatino Linotype"/>
        </w:rPr>
        <w:t xml:space="preserve"> International</w:t>
      </w:r>
      <w:r w:rsidR="006E16AB" w:rsidRPr="00944B91">
        <w:rPr>
          <w:rFonts w:ascii="Palatino Linotype" w:hAnsi="Palatino Linotype"/>
        </w:rPr>
        <w:t xml:space="preserve">) Türkiye Şubesi kurucusu ve aynı zamanda Onursal Başkanı Taner Kılıç’ın darbe girişimi sonrası </w:t>
      </w:r>
      <w:r w:rsidR="00D21F0A">
        <w:rPr>
          <w:rFonts w:ascii="Palatino Linotype" w:hAnsi="Palatino Linotype"/>
        </w:rPr>
        <w:t>örgüt ü</w:t>
      </w:r>
      <w:r w:rsidR="006E16AB" w:rsidRPr="00944B91">
        <w:rPr>
          <w:rFonts w:ascii="Palatino Linotype" w:hAnsi="Palatino Linotype"/>
        </w:rPr>
        <w:t xml:space="preserve">yeliği iddiasıyla tutuklanmasına ilişkin başvurusu </w:t>
      </w:r>
      <w:r w:rsidRPr="00944B91">
        <w:rPr>
          <w:rFonts w:ascii="Palatino Linotype" w:hAnsi="Palatino Linotype"/>
        </w:rPr>
        <w:t>Avrupa</w:t>
      </w:r>
      <w:r w:rsidR="00B31163" w:rsidRPr="00944B91">
        <w:rPr>
          <w:rFonts w:ascii="Palatino Linotype" w:hAnsi="Palatino Linotype"/>
        </w:rPr>
        <w:t xml:space="preserve"> İnsan Hakları Mahkemesi</w:t>
      </w:r>
      <w:r w:rsidR="006E16AB" w:rsidRPr="00944B91">
        <w:rPr>
          <w:rFonts w:ascii="Palatino Linotype" w:hAnsi="Palatino Linotype"/>
        </w:rPr>
        <w:t xml:space="preserve"> tarafından</w:t>
      </w:r>
      <w:r w:rsidR="00B31163" w:rsidRPr="00944B91">
        <w:rPr>
          <w:rFonts w:ascii="Palatino Linotype" w:hAnsi="Palatino Linotype"/>
        </w:rPr>
        <w:t xml:space="preserve"> 31/05/2022 tarihinde </w:t>
      </w:r>
      <w:r w:rsidR="006E16AB" w:rsidRPr="00944B91">
        <w:rPr>
          <w:rFonts w:ascii="Palatino Linotype" w:hAnsi="Palatino Linotype"/>
        </w:rPr>
        <w:t>karara bağlamış olup söz</w:t>
      </w:r>
      <w:r w:rsidR="00D21F0A">
        <w:rPr>
          <w:rFonts w:ascii="Palatino Linotype" w:hAnsi="Palatino Linotype"/>
        </w:rPr>
        <w:t xml:space="preserve"> </w:t>
      </w:r>
      <w:r w:rsidR="006E16AB" w:rsidRPr="00944B91">
        <w:rPr>
          <w:rFonts w:ascii="Palatino Linotype" w:hAnsi="Palatino Linotype"/>
        </w:rPr>
        <w:t>konusu karar 10/10/2022 tarihinde kesinleşmiştir. Taner Kılıç davasında AİHM tarafından ele alınan hususlar işbu davada da incelenmekte olduğundan, sözkonusu yeni içtihada uygun yargılama yapılması amacıyla ek beyan dilekçesi sunulmaktadır.</w:t>
      </w:r>
      <w:r w:rsidR="002F6394" w:rsidRPr="00944B91">
        <w:rPr>
          <w:rFonts w:ascii="Palatino Linotype" w:hAnsi="Palatino Linotype"/>
        </w:rPr>
        <w:t xml:space="preserve"> Kararın Adalet Bakanlığı tarafından yapılan çevirisine, </w:t>
      </w:r>
      <w:hyperlink r:id="rId5" w:history="1">
        <w:r w:rsidR="002F6394" w:rsidRPr="00944B91">
          <w:rPr>
            <w:rStyle w:val="Kpr"/>
            <w:rFonts w:ascii="Palatino Linotype" w:hAnsi="Palatino Linotype"/>
          </w:rPr>
          <w:t>https://hudoc.echr.coe.int/eng?i=001-219912</w:t>
        </w:r>
      </w:hyperlink>
      <w:r w:rsidR="002F6394" w:rsidRPr="00944B91">
        <w:rPr>
          <w:rFonts w:ascii="Palatino Linotype" w:hAnsi="Palatino Linotype"/>
        </w:rPr>
        <w:t xml:space="preserve"> adresinden erişilebilmektedir. </w:t>
      </w:r>
    </w:p>
    <w:p w14:paraId="21B55B30" w14:textId="77777777" w:rsidR="00944B91" w:rsidRPr="00944B91" w:rsidRDefault="007E37EF" w:rsidP="007E37EF">
      <w:pPr>
        <w:jc w:val="both"/>
        <w:rPr>
          <w:rFonts w:ascii="Palatino Linotype" w:hAnsi="Palatino Linotype"/>
        </w:rPr>
      </w:pPr>
      <w:r w:rsidRPr="00944B91">
        <w:rPr>
          <w:rFonts w:ascii="Palatino Linotype" w:hAnsi="Palatino Linotype"/>
        </w:rPr>
        <w:t xml:space="preserve">Başvurucu Taner Kılıç’ın tutuklanmasına hükmeden sulh ceza hâkimliğinin tutukluluk kararında gerekçe olarak gösterdiği hususlar şunlardır: </w:t>
      </w:r>
    </w:p>
    <w:p w14:paraId="27705EE1" w14:textId="77777777" w:rsidR="00AD4178" w:rsidRDefault="00944B91" w:rsidP="00944B91">
      <w:pPr>
        <w:pStyle w:val="ListeParagraf"/>
        <w:numPr>
          <w:ilvl w:val="0"/>
          <w:numId w:val="2"/>
        </w:numPr>
        <w:jc w:val="both"/>
        <w:rPr>
          <w:rFonts w:ascii="Palatino Linotype" w:hAnsi="Palatino Linotype"/>
        </w:rPr>
      </w:pPr>
      <w:r w:rsidRPr="00944B91">
        <w:rPr>
          <w:rFonts w:ascii="Palatino Linotype" w:hAnsi="Palatino Linotype"/>
        </w:rPr>
        <w:t>B</w:t>
      </w:r>
      <w:r w:rsidR="007E37EF" w:rsidRPr="00944B91">
        <w:rPr>
          <w:rFonts w:ascii="Palatino Linotype" w:hAnsi="Palatino Linotype"/>
        </w:rPr>
        <w:t xml:space="preserve">aşvurucunun mobil telefon hattında Bylock isimli programı kullandığına ilişkin iddia, </w:t>
      </w:r>
    </w:p>
    <w:p w14:paraId="3DF6B59A" w14:textId="1DCEF3EC" w:rsidR="00944B91" w:rsidRPr="00944B91" w:rsidRDefault="007E37EF" w:rsidP="00944B91">
      <w:pPr>
        <w:pStyle w:val="ListeParagraf"/>
        <w:numPr>
          <w:ilvl w:val="0"/>
          <w:numId w:val="2"/>
        </w:numPr>
        <w:jc w:val="both"/>
        <w:rPr>
          <w:rFonts w:ascii="Palatino Linotype" w:hAnsi="Palatino Linotype"/>
        </w:rPr>
      </w:pPr>
      <w:r w:rsidRPr="00944B91">
        <w:rPr>
          <w:rFonts w:ascii="Palatino Linotype" w:hAnsi="Palatino Linotype"/>
        </w:rPr>
        <w:t xml:space="preserve">Zaman Gazetesi gibi yayınlara abone olması, </w:t>
      </w:r>
    </w:p>
    <w:p w14:paraId="2D1B02A2" w14:textId="77777777" w:rsidR="00944B91" w:rsidRPr="00944B91" w:rsidRDefault="00944B91" w:rsidP="00944B91">
      <w:pPr>
        <w:pStyle w:val="ListeParagraf"/>
        <w:numPr>
          <w:ilvl w:val="0"/>
          <w:numId w:val="2"/>
        </w:numPr>
        <w:jc w:val="both"/>
        <w:rPr>
          <w:rFonts w:ascii="Palatino Linotype" w:hAnsi="Palatino Linotype"/>
        </w:rPr>
      </w:pPr>
      <w:r w:rsidRPr="00944B91">
        <w:rPr>
          <w:rFonts w:ascii="Palatino Linotype" w:hAnsi="Palatino Linotype"/>
        </w:rPr>
        <w:t>K</w:t>
      </w:r>
      <w:r w:rsidR="007E37EF" w:rsidRPr="00944B91">
        <w:rPr>
          <w:rFonts w:ascii="Palatino Linotype" w:hAnsi="Palatino Linotype"/>
        </w:rPr>
        <w:t xml:space="preserve">ız kardeşinin Zaman Gazetesinin editörüyle evli olması, </w:t>
      </w:r>
    </w:p>
    <w:p w14:paraId="79248668" w14:textId="77777777" w:rsidR="00944B91" w:rsidRPr="00944B91" w:rsidRDefault="00944B91" w:rsidP="00944B91">
      <w:pPr>
        <w:pStyle w:val="ListeParagraf"/>
        <w:numPr>
          <w:ilvl w:val="0"/>
          <w:numId w:val="2"/>
        </w:numPr>
        <w:jc w:val="both"/>
        <w:rPr>
          <w:rFonts w:ascii="Palatino Linotype" w:hAnsi="Palatino Linotype"/>
        </w:rPr>
      </w:pPr>
      <w:r w:rsidRPr="00944B91">
        <w:rPr>
          <w:rFonts w:ascii="Palatino Linotype" w:hAnsi="Palatino Linotype"/>
        </w:rPr>
        <w:t>Ç</w:t>
      </w:r>
      <w:r w:rsidR="007E37EF" w:rsidRPr="00944B91">
        <w:rPr>
          <w:rFonts w:ascii="Palatino Linotype" w:hAnsi="Palatino Linotype"/>
        </w:rPr>
        <w:t xml:space="preserve">ocuklarının KHK ile kapatılan özel okullarda okuması ve </w:t>
      </w:r>
    </w:p>
    <w:p w14:paraId="23E2FE43" w14:textId="5A293008" w:rsidR="007E37EF" w:rsidRPr="00944B91" w:rsidRDefault="007E37EF" w:rsidP="00944B91">
      <w:pPr>
        <w:pStyle w:val="ListeParagraf"/>
        <w:numPr>
          <w:ilvl w:val="0"/>
          <w:numId w:val="2"/>
        </w:numPr>
        <w:jc w:val="both"/>
        <w:rPr>
          <w:rFonts w:ascii="Palatino Linotype" w:hAnsi="Palatino Linotype"/>
        </w:rPr>
      </w:pPr>
      <w:r w:rsidRPr="00944B91">
        <w:rPr>
          <w:rFonts w:ascii="Palatino Linotype" w:hAnsi="Palatino Linotype"/>
        </w:rPr>
        <w:t>Bank Asya isimli özel bankada var olan mevduat hesabında parasal hareketlerin bulunulmasına dayanılmıştır.</w:t>
      </w:r>
    </w:p>
    <w:p w14:paraId="618BCDEF" w14:textId="751FEFBB" w:rsidR="007E37EF" w:rsidRPr="00944B91" w:rsidRDefault="00B31163" w:rsidP="00B31163">
      <w:pPr>
        <w:jc w:val="both"/>
        <w:rPr>
          <w:rFonts w:ascii="Palatino Linotype" w:hAnsi="Palatino Linotype"/>
        </w:rPr>
      </w:pPr>
      <w:r w:rsidRPr="00944B91">
        <w:rPr>
          <w:rFonts w:ascii="Palatino Linotype" w:hAnsi="Palatino Linotype"/>
        </w:rPr>
        <w:t xml:space="preserve">Bilindiği üzere AİHM, daha önce verdiği Akgün kararında da Bylock kullanımını incelemiş ve </w:t>
      </w:r>
      <w:r w:rsidR="006E16AB" w:rsidRPr="00944B91">
        <w:rPr>
          <w:rFonts w:ascii="Palatino Linotype" w:hAnsi="Palatino Linotype"/>
        </w:rPr>
        <w:t xml:space="preserve">başvurucunun makul şüphe yokluğunda tutuklandığı sonucuna varmıştı. </w:t>
      </w:r>
      <w:r w:rsidRPr="00944B91">
        <w:rPr>
          <w:rFonts w:ascii="Palatino Linotype" w:hAnsi="Palatino Linotype"/>
        </w:rPr>
        <w:t>AİHM, Taner Kılıç kararı</w:t>
      </w:r>
      <w:r w:rsidR="007E37EF" w:rsidRPr="00944B91">
        <w:rPr>
          <w:rFonts w:ascii="Palatino Linotype" w:hAnsi="Palatino Linotype"/>
        </w:rPr>
        <w:t xml:space="preserve">nda </w:t>
      </w:r>
      <w:r w:rsidRPr="00944B91">
        <w:rPr>
          <w:rFonts w:ascii="Palatino Linotype" w:hAnsi="Palatino Linotype"/>
        </w:rPr>
        <w:t>Bylock konusunda Akgün kararında</w:t>
      </w:r>
      <w:r w:rsidR="007E37EF" w:rsidRPr="00944B91">
        <w:rPr>
          <w:rFonts w:ascii="Palatino Linotype" w:hAnsi="Palatino Linotype"/>
        </w:rPr>
        <w:t xml:space="preserve"> yaptığı</w:t>
      </w:r>
      <w:r w:rsidRPr="00944B91">
        <w:rPr>
          <w:rFonts w:ascii="Palatino Linotype" w:hAnsi="Palatino Linotype"/>
        </w:rPr>
        <w:t xml:space="preserve"> tespitleri </w:t>
      </w:r>
      <w:r w:rsidR="002F6394" w:rsidRPr="00944B91">
        <w:rPr>
          <w:rFonts w:ascii="Palatino Linotype" w:hAnsi="Palatino Linotype"/>
        </w:rPr>
        <w:t xml:space="preserve">tekrar ederek konuya nasıl yaklaşılması gerektiğini netleştirmiştir. </w:t>
      </w:r>
      <w:r w:rsidRPr="00944B91">
        <w:rPr>
          <w:rFonts w:ascii="Palatino Linotype" w:hAnsi="Palatino Linotype"/>
        </w:rPr>
        <w:t xml:space="preserve"> </w:t>
      </w:r>
    </w:p>
    <w:p w14:paraId="316552ED" w14:textId="77777777" w:rsidR="007E37EF" w:rsidRPr="00944B91" w:rsidRDefault="00B31163" w:rsidP="007E37EF">
      <w:pPr>
        <w:jc w:val="both"/>
        <w:rPr>
          <w:rFonts w:ascii="Palatino Linotype" w:hAnsi="Palatino Linotype"/>
        </w:rPr>
      </w:pPr>
      <w:r w:rsidRPr="00944B91">
        <w:rPr>
          <w:rFonts w:ascii="Palatino Linotype" w:hAnsi="Palatino Linotype"/>
        </w:rPr>
        <w:t>Bu bağlamda</w:t>
      </w:r>
      <w:r w:rsidR="007E37EF" w:rsidRPr="00944B91">
        <w:rPr>
          <w:rFonts w:ascii="Palatino Linotype" w:hAnsi="Palatino Linotype"/>
        </w:rPr>
        <w:t xml:space="preserve"> AİHM, </w:t>
      </w:r>
      <w:r w:rsidR="007E37EF" w:rsidRPr="00944B91">
        <w:rPr>
          <w:rFonts w:ascii="Palatino Linotype" w:hAnsi="Palatino Linotype"/>
          <w:b/>
        </w:rPr>
        <w:t xml:space="preserve">Bylock </w:t>
      </w:r>
      <w:r w:rsidR="007E37EF" w:rsidRPr="00AD4178">
        <w:rPr>
          <w:rFonts w:ascii="Palatino Linotype" w:hAnsi="Palatino Linotype"/>
          <w:b/>
          <w:i/>
          <w:iCs/>
        </w:rPr>
        <w:t>“Sorgu Sonucu”</w:t>
      </w:r>
      <w:r w:rsidR="007E37EF" w:rsidRPr="00944B91">
        <w:rPr>
          <w:rFonts w:ascii="Palatino Linotype" w:hAnsi="Palatino Linotype"/>
          <w:b/>
        </w:rPr>
        <w:t xml:space="preserve"> raporunun ham bir tespit olduğunu belirtmiştir.</w:t>
      </w:r>
      <w:r w:rsidR="007E37EF" w:rsidRPr="00944B91">
        <w:rPr>
          <w:rFonts w:ascii="Palatino Linotype" w:hAnsi="Palatino Linotype"/>
        </w:rPr>
        <w:t xml:space="preserve"> Bylock kullanıcılığı iddiasının dayanağı olan emniyet biriminin (polis) raporunun basit, ham bir beyanat olduğunu ve hangi veriler ile bu sonuca varıldığını, dayanak verileri ve bu dayanak verilerin nasıl oluşturulduğuna dair bilgiler içermediğini, atılı terör örgütüne üyelik suçunun işlendiği sonucuna ne şekilde varıldığının açıklanmadığına hükmetmiştir.</w:t>
      </w:r>
    </w:p>
    <w:p w14:paraId="615365AA" w14:textId="77777777" w:rsidR="007E37EF" w:rsidRPr="00944B91" w:rsidRDefault="007E37EF" w:rsidP="00B31163">
      <w:pPr>
        <w:jc w:val="both"/>
        <w:rPr>
          <w:rFonts w:ascii="Palatino Linotype" w:hAnsi="Palatino Linotype"/>
        </w:rPr>
      </w:pPr>
      <w:r w:rsidRPr="00944B91">
        <w:rPr>
          <w:rFonts w:ascii="Palatino Linotype" w:hAnsi="Palatino Linotype"/>
        </w:rPr>
        <w:t>Bylock aplikasyonunu telefona indirme/kullanma iddiası içeren tek sayfadan ibaret bir analiz raporunun yerel mahkemelerce esas alındığını, oysa birçok bilirkişi raporu ile analiz raporunun çürütülmesine rağmen, yalnızca bahse konu raporun esas alınmasının silahlı terör örgütüne üyelik suçunun işlendiğine dair makul şüphe oluşturmayacağını belirtmiştir. (para 105-109).</w:t>
      </w:r>
    </w:p>
    <w:p w14:paraId="4C32825D" w14:textId="76310E3D" w:rsidR="007E37EF" w:rsidRPr="00944B91" w:rsidRDefault="007E37EF" w:rsidP="00B31163">
      <w:pPr>
        <w:jc w:val="both"/>
        <w:rPr>
          <w:rFonts w:ascii="Palatino Linotype" w:hAnsi="Palatino Linotype"/>
        </w:rPr>
      </w:pPr>
      <w:r w:rsidRPr="00944B91">
        <w:rPr>
          <w:rFonts w:ascii="Palatino Linotype" w:hAnsi="Palatino Linotype"/>
        </w:rPr>
        <w:lastRenderedPageBreak/>
        <w:t>AİHM, Akgün kararında vardığı sonuca atıf yaparak, bir açıdan Bylock mesajlarının içeriğinde nelerin yazılmış olduğunun önemli olduğuna dikkat çekmiş ve içerik gibi ek hususlarla desteklenmeden salt gizli haberleşmenin suç işlendiğine dair makul şüphe oluşturmayacağını tekrar etmiştir. Bu açıdan başvurucu hakkında mesaj içeriği ve bağlamı gibi suç işlendiğini gösteren bir hususun bulunmadığının altını çizmiştir.</w:t>
      </w:r>
    </w:p>
    <w:p w14:paraId="2ED420BA" w14:textId="77777777" w:rsidR="00801AAC" w:rsidRPr="00944B91" w:rsidRDefault="002F6394" w:rsidP="00801AAC">
      <w:pPr>
        <w:jc w:val="both"/>
        <w:rPr>
          <w:rFonts w:ascii="Palatino Linotype" w:hAnsi="Palatino Linotype"/>
        </w:rPr>
      </w:pPr>
      <w:r w:rsidRPr="00944B91">
        <w:rPr>
          <w:rFonts w:ascii="Palatino Linotype" w:hAnsi="Palatino Linotype"/>
        </w:rPr>
        <w:t xml:space="preserve">Bu meyanda kararın ilgili paragraflarının Adalet Bakanlığı çevirisi aşağıda sunulmuştur. </w:t>
      </w:r>
    </w:p>
    <w:p w14:paraId="6BE9469F" w14:textId="28122DFF" w:rsidR="00801AAC" w:rsidRPr="00944B91" w:rsidRDefault="00801AAC" w:rsidP="00801AAC">
      <w:pPr>
        <w:jc w:val="both"/>
        <w:rPr>
          <w:rFonts w:ascii="Palatino Linotype" w:hAnsi="Palatino Linotype"/>
          <w:i/>
          <w:iCs/>
        </w:rPr>
      </w:pPr>
      <w:r w:rsidRPr="00944B91">
        <w:rPr>
          <w:rFonts w:ascii="Palatino Linotype" w:hAnsi="Palatino Linotype"/>
          <w:i/>
          <w:iCs/>
        </w:rPr>
        <w:t>“106. Mahkeme, ByLock uygulamasının kullanıldığı iddiasıyla ilgili olarak, Akgün kararında (yukarıda anılan, §§ 167</w:t>
      </w:r>
      <w:r w:rsidRPr="00944B91">
        <w:rPr>
          <w:rFonts w:ascii="Palatino Linotype" w:hAnsi="Palatino Linotype"/>
          <w:i/>
          <w:iCs/>
        </w:rPr>
        <w:noBreakHyphen/>
        <w:t>181) varılan sonuçlara atıfta bulunmaktadır, Mahkeme bu kararda, ilke olarak, sadece şifreli bir iletişim aracı yüklemenin veya kullanmanın ya da gönderilen mesajların özel niteliğinin korunmasına ilişkin başka bir yola başvurulmasının, tek başına, yasa dışı veya suç teşkil eden bir faaliyetin söz konusu olduğuna tarafsız bir gözlemciyi bile ikna edecek bir unsur teşkil edemeyeceği kanaatine varmıştır. Nitekim bu karardan, yalnızca şifreli bir iletişim aracının kullanımının, gönderilen mesajların içeriği veya gönderildikleri bağlam gibi kullanımıyla ilgili diğer unsurlar veya buna ilişkin başka türden unsurlar tarafından desteklendiğinde, tarafsız bir gözlemciyi, söz konusu iletişim aracının kullanıcısının bir suç örgütünün üyesi olduğundan şüphelenmek için inandırıcı bir sebebin bulunduğuna ikna edebilecek kanıtlardan bahsedilebileceği anlaşılmaktadır (yukarıda anılan Akgün, § 173).</w:t>
      </w:r>
    </w:p>
    <w:p w14:paraId="03065F41" w14:textId="77777777" w:rsidR="00801AAC" w:rsidRPr="00944B91" w:rsidRDefault="00801AAC" w:rsidP="00801AAC">
      <w:pPr>
        <w:jc w:val="both"/>
        <w:rPr>
          <w:rFonts w:ascii="Palatino Linotype" w:hAnsi="Palatino Linotype"/>
          <w:i/>
          <w:iCs/>
        </w:rPr>
      </w:pPr>
      <w:r w:rsidRPr="00944B91">
        <w:rPr>
          <w:rFonts w:ascii="Palatino Linotype" w:hAnsi="Palatino Linotype"/>
          <w:i/>
          <w:iCs/>
        </w:rPr>
        <w:t>107. Hâlbuki mevcut davada, başvuranın tutukluluk halinin devamına hükmedilen kararlarda, örneğin gönderilen mesajların içeriği veya bağlamı gibi, söz konusu mesajlaşma uygulamasının kullanımına ilişkin hiçbir delil unsuru bulunmamaktadır. Dolayısıyla Mahkeme, yukarıda anılan Akgün kararında vardığı sonuçta uzaklaşmak için hiçbir sebep görmemektedir (§ 174).</w:t>
      </w:r>
    </w:p>
    <w:p w14:paraId="7AE61BBA" w14:textId="579FFC91" w:rsidR="002F6394" w:rsidRPr="00944B91" w:rsidRDefault="00801AAC" w:rsidP="00801AAC">
      <w:pPr>
        <w:jc w:val="both"/>
        <w:rPr>
          <w:rFonts w:ascii="Palatino Linotype" w:hAnsi="Palatino Linotype"/>
          <w:i/>
          <w:iCs/>
        </w:rPr>
      </w:pPr>
      <w:r w:rsidRPr="00944B91">
        <w:rPr>
          <w:rFonts w:ascii="Palatino Linotype" w:hAnsi="Palatino Linotype"/>
          <w:i/>
          <w:iCs/>
        </w:rPr>
        <w:t>108. Ayrıca Mahkeme, başvuranın FETÖ/PDY örgütüne üye olma suçunu işlediği şüphelerinin dayandırıldığı belirleyici unsurun, Emniyet Müdürlüğü tarafından düzenlenen ve ilk bağlantı tarihinin belirtildiği “İnceleme Sonucu” başlıklı kısa bir belge (yukarıdaki 7. paragraf) olduğunun dosyadan anlaşıldığını hatırlatmaktadır.  Hâlbuki burada, yetkili makamların neye dayanarak ve özellikle hangi verilerden yola çıkarak böyle bir sonuca vardığını açıklayan kesin bir gösterge bulunmaksızın, basit bir tespit söz konusudur. Dolayısıyla bu belge, dayandığı temel verileri içermediği gibi bu verilerin nasıl oluşturulduğuna dair bilgi de sağlamamaktadır (yukarıda anılan Akgün, § 178). Ayrıca, daha sonra hazırlanan çok sayıda bilirkişi raporunda, ilgili kişinin söz konusu mesajlaşma sistemini hiçbir zaman telefonuna yüklemediği veya kullanmadığı belirtilmesine rağmen (yukarıdaki 15, 21, 22, 36 ve 42. paragraflar), ulusal mahkemeler bu gelişmeyi hiçbir şekilde dikkate almamıştır.”</w:t>
      </w:r>
    </w:p>
    <w:p w14:paraId="08866E8F" w14:textId="2B3AFD73" w:rsidR="007E37EF" w:rsidRPr="00944B91" w:rsidRDefault="00F24C86" w:rsidP="007E37EF">
      <w:pPr>
        <w:jc w:val="both"/>
        <w:rPr>
          <w:rFonts w:ascii="Palatino Linotype" w:hAnsi="Palatino Linotype"/>
        </w:rPr>
      </w:pPr>
      <w:r w:rsidRPr="00944B91">
        <w:rPr>
          <w:rFonts w:ascii="Palatino Linotype" w:hAnsi="Palatino Linotype"/>
        </w:rPr>
        <w:t xml:space="preserve">Kararda aynı zamanda, </w:t>
      </w:r>
      <w:r w:rsidR="007E37EF" w:rsidRPr="00944B91">
        <w:rPr>
          <w:rFonts w:ascii="Palatino Linotype" w:hAnsi="Palatino Linotype"/>
        </w:rPr>
        <w:t>Bylock iddiası haricindeki başvurucuya atfedilen diğer eylemlerin (çocuklarının özel bir okula gönderilmesi/ özel bir bankada hesap açmış olma/ bir kısım basın yayın organlarına abonelik/ kardeşinin Zaman Gazetesi editörüyle evli olması) atılı suçun işlendiğine dair makul bir şüpheye yol açmayan yalnızca tali derecede unsurlar olduğu, bu eylemlerin işlendiği zaman herhangi bir suça vücut vermediğini ve dolayısıyla kanunilik karinesinden (la présomption de légalité) istifade ettiği kaydedilmiştir.</w:t>
      </w:r>
    </w:p>
    <w:p w14:paraId="1119F807" w14:textId="5697A8E1" w:rsidR="00F24C86" w:rsidRPr="00944B91" w:rsidRDefault="00F24C86" w:rsidP="007E37EF">
      <w:pPr>
        <w:jc w:val="both"/>
        <w:rPr>
          <w:rFonts w:ascii="Palatino Linotype" w:hAnsi="Palatino Linotype"/>
        </w:rPr>
      </w:pPr>
      <w:r w:rsidRPr="00944B91">
        <w:rPr>
          <w:rFonts w:ascii="Palatino Linotype" w:hAnsi="Palatino Linotype"/>
        </w:rPr>
        <w:t xml:space="preserve">Kararın ilgili kısımlarında AİHM’in tespitleri şu şekildedir : </w:t>
      </w:r>
    </w:p>
    <w:p w14:paraId="4F1BA3FA" w14:textId="380800AF" w:rsidR="00F24C86" w:rsidRPr="00944B91" w:rsidRDefault="00F24C86" w:rsidP="007E37EF">
      <w:pPr>
        <w:jc w:val="both"/>
        <w:rPr>
          <w:rFonts w:ascii="Palatino Linotype" w:hAnsi="Palatino Linotype"/>
          <w:i/>
          <w:iCs/>
        </w:rPr>
      </w:pPr>
      <w:r w:rsidRPr="00944B91">
        <w:rPr>
          <w:rFonts w:ascii="Palatino Linotype" w:hAnsi="Palatino Linotype"/>
          <w:i/>
          <w:iCs/>
        </w:rPr>
        <w:t xml:space="preserve">“104. Somut olayda, yukarıda anılan Akgün kararının tersine, ilgili hakkında duyulan şüphelerin tek sebebi, söz konusu uygulamanın kullanıldığı iddiası değildir (karşılaştırınız yukarıda anılan Akgün, </w:t>
      </w:r>
      <w:r w:rsidRPr="00944B91">
        <w:rPr>
          <w:rFonts w:ascii="Palatino Linotype" w:hAnsi="Palatino Linotype"/>
          <w:i/>
          <w:iCs/>
        </w:rPr>
        <w:lastRenderedPageBreak/>
        <w:t xml:space="preserve">§§ 164-166). Bununla birlikte, aşağıda belirtilen gerekçelerle (aşağıdaki 105. paragraf), Mahkeme, aşağıda belirtilen unsurların, başvuranın yasa dışı bir örgüte üye olduğunu gösteren bir kanıtlar bütünü oluşturduğu sonucuna makul olarak varılamayacağı kanaatine varmaktadır: ilgilinin, olayların meydana geldiği dönemde yasal olan bir yayına abone olması; kız kardeşinin bu türden bir yayının sorumlusu ile evli olması; ilgilinin çocuklarının olayların meydana geldiği dönemde yasal olarak yönetilen, ancak daha sonra kanun hükmünde kararnamelerle kapatılan okullarda kayıtlı olması. Şüphesiz, başvuranın bankacılık faaliyetlerine ilişkin bir bilirkişi raporuna göre, başvuranın Bank Asya’da bir katılım hesabına sahip olmasına rağmen, başka bir bankadan konut kredisi çekmiş olduğu ve bu durumun, ilgilinin ekonomik menfaatlerine göre hareket etmediğini gösterdiği kanaatine varılmıştır (yukarıdaki 15. paragraf). Bununla birlikte, bu raporun sonuçları, ilk bakışta, başvuranın, söz konusu banka hesabının çocuklarının okul masraflarının ödenmesi için açıldığına dair beyanları çürütecek nitelikte değildir ve bu hesabın kullanımında herhangi bir anormallik tespit edilmemiştir (yukarıdaki 8. paragraf). </w:t>
      </w:r>
      <w:r w:rsidRPr="00402B8C">
        <w:rPr>
          <w:rFonts w:ascii="Palatino Linotype" w:hAnsi="Palatino Linotype"/>
          <w:b/>
          <w:bCs/>
          <w:i/>
          <w:iCs/>
        </w:rPr>
        <w:t>Mahkeme özellikle, başvuranın, -olayların meydana geldiği dönemde yasal olan- söz konusu bankadaki hesabı aracılığıyla yasa dışı bir örgütün suç faaliyetlerini finanse etmeye katkıda bulunduğuna dair en ufak bir kanıtın bulunmadığını gözlemlemektedir.</w:t>
      </w:r>
    </w:p>
    <w:p w14:paraId="61EB7738" w14:textId="1A5BEB5E" w:rsidR="00F24C86" w:rsidRPr="00944B91" w:rsidRDefault="00F24C86" w:rsidP="007E37EF">
      <w:pPr>
        <w:jc w:val="both"/>
        <w:rPr>
          <w:rFonts w:ascii="Palatino Linotype" w:hAnsi="Palatino Linotype"/>
          <w:i/>
          <w:iCs/>
        </w:rPr>
      </w:pPr>
      <w:r w:rsidRPr="00944B91">
        <w:rPr>
          <w:rFonts w:ascii="Palatino Linotype" w:hAnsi="Palatino Linotype"/>
          <w:i/>
          <w:iCs/>
        </w:rPr>
        <w:t xml:space="preserve">105. Mahkeme, özellikle başvurana isnat edilen -ByLock uygulamasını kullandığı iddiası dışında- diğer fiillerin, ilgilinin kendisine isnat edilen suçu işlediğinden makul olarak şüphelenilmesine imkân vermeyen koşullara bağlı basit unsurlar teşkil ettiği kanaatindedir. Nitekim bu fiiller, söz konusu şüpheleri haklı gösterebilecek nitelikte, şüphelinin davranışında bir sorumluluk unsuruna işaret eden entelektüel bir bağlantı gibi başka bir unsur bulunmaması durumunda, yasallık karinesinden faydalanmalıdır (bu davaya uygulanabildiği ölçüde (mutatis mutandis) bk. G.I.E.M. S.R.L. ve diğerleri/İtalya [BD], no. </w:t>
      </w:r>
      <w:hyperlink r:id="rId6" w:anchor="{&quot;appno&quot;:[&quot;1828/06&quot;]}" w:tgtFrame="_blank" w:history="1">
        <w:r w:rsidRPr="00944B91">
          <w:rPr>
            <w:rFonts w:ascii="Palatino Linotype" w:hAnsi="Palatino Linotype"/>
            <w:i/>
            <w:iCs/>
          </w:rPr>
          <w:t>1828/06</w:t>
        </w:r>
      </w:hyperlink>
      <w:r w:rsidRPr="00944B91">
        <w:rPr>
          <w:rFonts w:ascii="Palatino Linotype" w:hAnsi="Palatino Linotype"/>
          <w:i/>
          <w:iCs/>
        </w:rPr>
        <w:t xml:space="preserve"> ve diğer 2 başvuru, §§ 241-247, 28 Haziran 2018). Ayrıca, </w:t>
      </w:r>
      <w:r w:rsidRPr="00402B8C">
        <w:rPr>
          <w:rFonts w:ascii="Palatino Linotype" w:hAnsi="Palatino Linotype"/>
          <w:b/>
          <w:bCs/>
          <w:i/>
          <w:iCs/>
        </w:rPr>
        <w:t>bir tutuklu aleyhinde iddia edilen olgu veya fiillerin, meydana geldikleri anda suç teşkil etmemeleri durumunda, açıkça makul bir şüphe duyulamaz</w:t>
      </w:r>
      <w:r w:rsidRPr="00944B91">
        <w:rPr>
          <w:rFonts w:ascii="Palatino Linotype" w:hAnsi="Palatino Linotype"/>
          <w:i/>
          <w:iCs/>
        </w:rPr>
        <w:t xml:space="preserve"> (yukarıda anılan Kavala, § 128 ve bu kararda yer alan atıflar). Dolayısıyla Mahkeme, dosya içeriği bakımından (yukarıdaki 7-9. paragraflar), ByLock kullanıldığı iddiasının, tutukluluğun bu ilk aşaması boyunca ilgili hakkında duyulan şüphelerin inandırıcılığının tespit edilmesi için belirleyici bir unsur teşkil ettiği sonucuna varmaktadır.”</w:t>
      </w:r>
    </w:p>
    <w:p w14:paraId="0ACF7737" w14:textId="5C616155" w:rsidR="00B31163" w:rsidRPr="00944B91" w:rsidRDefault="00F24C86" w:rsidP="00B31163">
      <w:pPr>
        <w:jc w:val="both"/>
        <w:rPr>
          <w:rFonts w:ascii="Palatino Linotype" w:hAnsi="Palatino Linotype"/>
        </w:rPr>
      </w:pPr>
      <w:r w:rsidRPr="00944B91">
        <w:rPr>
          <w:rFonts w:ascii="Palatino Linotype" w:hAnsi="Palatino Linotype"/>
        </w:rPr>
        <w:t xml:space="preserve">Böylece </w:t>
      </w:r>
      <w:r w:rsidRPr="00944B91">
        <w:rPr>
          <w:rFonts w:ascii="Palatino Linotype" w:hAnsi="Palatino Linotype"/>
          <w:b/>
          <w:bCs/>
        </w:rPr>
        <w:t xml:space="preserve">AİHM, Bylock iddiası dışında sanıklara terör örgütü üyeliğine delil olarak kullanılan gazete aboneliği, kapatılan okullara çocuklarını gönderme ve Bankasya’ya para yatırma gibi hususların </w:t>
      </w:r>
      <w:r w:rsidRPr="00944B91">
        <w:rPr>
          <w:rFonts w:ascii="Palatino Linotype" w:hAnsi="Palatino Linotype"/>
          <w:b/>
          <w:bCs/>
          <w:i/>
          <w:iCs/>
        </w:rPr>
        <w:t>“yasal eylemler”</w:t>
      </w:r>
      <w:r w:rsidRPr="00944B91">
        <w:rPr>
          <w:rFonts w:ascii="Palatino Linotype" w:hAnsi="Palatino Linotype"/>
          <w:b/>
          <w:bCs/>
        </w:rPr>
        <w:t xml:space="preserve"> olduğunu ve dolayısıyla bunlara dayanarak suçlama yapılamayacağına hükmetmiştir</w:t>
      </w:r>
      <w:r w:rsidR="00BC78F8" w:rsidRPr="00944B91">
        <w:rPr>
          <w:rFonts w:ascii="Palatino Linotype" w:hAnsi="Palatino Linotype"/>
          <w:b/>
          <w:bCs/>
        </w:rPr>
        <w:t>.</w:t>
      </w:r>
      <w:r w:rsidR="00B31163" w:rsidRPr="00944B91">
        <w:rPr>
          <w:rFonts w:ascii="Palatino Linotype" w:hAnsi="Palatino Linotype"/>
        </w:rPr>
        <w:t xml:space="preserve"> </w:t>
      </w:r>
    </w:p>
    <w:p w14:paraId="6797B90B" w14:textId="3F8FE6B3" w:rsidR="00BC78F8" w:rsidRPr="00944B91" w:rsidRDefault="00BC78F8" w:rsidP="00B31163">
      <w:pPr>
        <w:jc w:val="both"/>
        <w:rPr>
          <w:rFonts w:ascii="Palatino Linotype" w:hAnsi="Palatino Linotype"/>
        </w:rPr>
      </w:pPr>
      <w:r w:rsidRPr="00944B91">
        <w:rPr>
          <w:rFonts w:ascii="Palatino Linotype" w:hAnsi="Palatino Linotype"/>
        </w:rPr>
        <w:t xml:space="preserve">AİHS m. 46 uyarınca AİHM kararları bağlayıcı olup, Anayasa m. 90 gereği iç hukukla çatışması halinde dahi AİHS ve bunun yorumu olan AİHM kararları Yüce Türk yargısınca uyulmak durumundadır. Bu kapsamda, </w:t>
      </w:r>
      <w:r w:rsidR="001F39D2">
        <w:rPr>
          <w:rFonts w:ascii="Palatino Linotype" w:hAnsi="Palatino Linotype"/>
        </w:rPr>
        <w:t>Bylock sunucusunun hukuka aykırı el</w:t>
      </w:r>
      <w:r w:rsidR="00D21F0A">
        <w:rPr>
          <w:rFonts w:ascii="Palatino Linotype" w:hAnsi="Palatino Linotype"/>
        </w:rPr>
        <w:t>e geçirildiğinde</w:t>
      </w:r>
      <w:r w:rsidR="001F39D2">
        <w:rPr>
          <w:rFonts w:ascii="Palatino Linotype" w:hAnsi="Palatino Linotype"/>
        </w:rPr>
        <w:t xml:space="preserve"> şüphe yoktur. Ancak, bir an için hukuka uygun elde edildiği farz edilse bile </w:t>
      </w:r>
      <w:r w:rsidRPr="00944B91">
        <w:rPr>
          <w:rFonts w:ascii="Palatino Linotype" w:hAnsi="Palatino Linotype"/>
        </w:rPr>
        <w:t>Bylock içeriklerin</w:t>
      </w:r>
      <w:r w:rsidR="001F39D2">
        <w:rPr>
          <w:rFonts w:ascii="Palatino Linotype" w:hAnsi="Palatino Linotype"/>
        </w:rPr>
        <w:t xml:space="preserve">in olmadığı ya da olan içeriklerde </w:t>
      </w:r>
      <w:r w:rsidRPr="00944B91">
        <w:rPr>
          <w:rFonts w:ascii="Palatino Linotype" w:hAnsi="Palatino Linotype"/>
        </w:rPr>
        <w:t xml:space="preserve">terör faaliyetini ve terör örgütü üyeliğini açıkça ortaya koyan bir unsur bulunmadığı takdirde, kişinin tutuklanmaması ve ceza yargılamasının beraatle sonuçlandırılması kanuni bir zorunluluktur. </w:t>
      </w:r>
    </w:p>
    <w:p w14:paraId="302A1FCC" w14:textId="58D931D5" w:rsidR="00F258C6" w:rsidRPr="00944B91" w:rsidRDefault="00BC78F8" w:rsidP="00BC78F8">
      <w:pPr>
        <w:jc w:val="both"/>
        <w:rPr>
          <w:rFonts w:ascii="Palatino Linotype" w:hAnsi="Palatino Linotype"/>
        </w:rPr>
      </w:pPr>
      <w:r w:rsidRPr="00944B91">
        <w:rPr>
          <w:rFonts w:ascii="Palatino Linotype" w:hAnsi="Palatino Linotype"/>
        </w:rPr>
        <w:lastRenderedPageBreak/>
        <w:t xml:space="preserve">Özellikle kapatılan okullara kayıt, Bank Asya hesap hareketleri ve zaman gazetesi aboneliği gibi </w:t>
      </w:r>
      <w:r w:rsidR="00AD4178">
        <w:rPr>
          <w:rFonts w:ascii="Palatino Linotype" w:hAnsi="Palatino Linotype"/>
        </w:rPr>
        <w:t>hususların</w:t>
      </w:r>
      <w:r w:rsidR="00F258C6" w:rsidRPr="00944B91">
        <w:rPr>
          <w:rFonts w:ascii="Palatino Linotype" w:hAnsi="Palatino Linotype"/>
        </w:rPr>
        <w:t xml:space="preserve"> tutuklama ve cezalandırmaya esas teşkil etmeyeceği artık bu karar sonrası tartışmasızdır. </w:t>
      </w:r>
    </w:p>
    <w:p w14:paraId="2D62E257" w14:textId="77777777" w:rsidR="009322A9" w:rsidRPr="00944B91" w:rsidRDefault="005B1E10" w:rsidP="00B31163">
      <w:pPr>
        <w:jc w:val="both"/>
        <w:rPr>
          <w:rFonts w:ascii="Palatino Linotype" w:hAnsi="Palatino Linotype"/>
        </w:rPr>
      </w:pPr>
      <w:r w:rsidRPr="00944B91">
        <w:rPr>
          <w:rFonts w:ascii="Palatino Linotype" w:hAnsi="Palatino Linotype"/>
          <w:b/>
        </w:rPr>
        <w:t>SONUÇ VE İSTEM:</w:t>
      </w:r>
      <w:r w:rsidRPr="00944B91">
        <w:rPr>
          <w:rFonts w:ascii="Palatino Linotype" w:hAnsi="Palatino Linotype"/>
        </w:rPr>
        <w:t xml:space="preserve"> Yukarıda ifade edilen gerekçelere dayanarak</w:t>
      </w:r>
      <w:r w:rsidR="00A24438" w:rsidRPr="00944B91">
        <w:rPr>
          <w:rFonts w:ascii="Palatino Linotype" w:hAnsi="Palatino Linotype"/>
        </w:rPr>
        <w:t>;</w:t>
      </w:r>
      <w:r w:rsidR="009322A9" w:rsidRPr="00944B91">
        <w:rPr>
          <w:rFonts w:ascii="Palatino Linotype" w:hAnsi="Palatino Linotype"/>
        </w:rPr>
        <w:t xml:space="preserve"> </w:t>
      </w:r>
    </w:p>
    <w:p w14:paraId="4591E46B" w14:textId="77777777" w:rsidR="00A24438" w:rsidRPr="00944B91" w:rsidRDefault="009322A9" w:rsidP="00B31163">
      <w:pPr>
        <w:jc w:val="both"/>
        <w:rPr>
          <w:rFonts w:ascii="Palatino Linotype" w:hAnsi="Palatino Linotype"/>
        </w:rPr>
      </w:pPr>
      <w:r w:rsidRPr="00944B91">
        <w:rPr>
          <w:rFonts w:ascii="Palatino Linotype" w:hAnsi="Palatino Linotype"/>
        </w:rPr>
        <w:t>(aşağıdaki hususlardan olmayanlar dilekçenin kişiselleştirilmesinde çıkarılmalıdır)</w:t>
      </w:r>
    </w:p>
    <w:p w14:paraId="08F4BB49" w14:textId="7CB9C1B8" w:rsidR="00A24438" w:rsidRPr="00944B91" w:rsidRDefault="00A24438" w:rsidP="00A24438">
      <w:pPr>
        <w:pStyle w:val="ListeParagraf"/>
        <w:numPr>
          <w:ilvl w:val="0"/>
          <w:numId w:val="1"/>
        </w:numPr>
        <w:jc w:val="both"/>
        <w:rPr>
          <w:rFonts w:ascii="Palatino Linotype" w:hAnsi="Palatino Linotype"/>
        </w:rPr>
      </w:pPr>
      <w:r w:rsidRPr="00944B91">
        <w:rPr>
          <w:rFonts w:ascii="Palatino Linotype" w:hAnsi="Palatino Linotype"/>
        </w:rPr>
        <w:t>H</w:t>
      </w:r>
      <w:r w:rsidR="005B1E10" w:rsidRPr="00944B91">
        <w:rPr>
          <w:rFonts w:ascii="Palatino Linotype" w:hAnsi="Palatino Linotype"/>
        </w:rPr>
        <w:t xml:space="preserve">akkımdaki yargılamada delil olarak kullanılan </w:t>
      </w:r>
      <w:r w:rsidR="00F258C6" w:rsidRPr="00944B91">
        <w:rPr>
          <w:rFonts w:ascii="Palatino Linotype" w:hAnsi="Palatino Linotype"/>
          <w:highlight w:val="yellow"/>
        </w:rPr>
        <w:t>B</w:t>
      </w:r>
      <w:r w:rsidR="005B1E10" w:rsidRPr="00944B91">
        <w:rPr>
          <w:rFonts w:ascii="Palatino Linotype" w:hAnsi="Palatino Linotype"/>
          <w:highlight w:val="yellow"/>
        </w:rPr>
        <w:t xml:space="preserve">ylock uygulamasının delil olma unsurlarına ilişkin </w:t>
      </w:r>
      <w:r w:rsidR="00A935CC" w:rsidRPr="00944B91">
        <w:rPr>
          <w:rFonts w:ascii="Palatino Linotype" w:hAnsi="Palatino Linotype"/>
          <w:highlight w:val="yellow"/>
        </w:rPr>
        <w:t>Av</w:t>
      </w:r>
      <w:r w:rsidRPr="00944B91">
        <w:rPr>
          <w:rFonts w:ascii="Palatino Linotype" w:hAnsi="Palatino Linotype"/>
          <w:highlight w:val="yellow"/>
        </w:rPr>
        <w:t>rupa İnsan Hakları Mahkemesinin</w:t>
      </w:r>
      <w:r w:rsidR="005B1E10" w:rsidRPr="00944B91">
        <w:rPr>
          <w:rFonts w:ascii="Palatino Linotype" w:hAnsi="Palatino Linotype"/>
          <w:highlight w:val="yellow"/>
        </w:rPr>
        <w:t xml:space="preserve"> tespit ettiği hususların</w:t>
      </w:r>
      <w:r w:rsidR="009322A9" w:rsidRPr="00944B91">
        <w:rPr>
          <w:rFonts w:ascii="Palatino Linotype" w:hAnsi="Palatino Linotype"/>
          <w:highlight w:val="yellow"/>
        </w:rPr>
        <w:t>,</w:t>
      </w:r>
      <w:r w:rsidR="005B1E10" w:rsidRPr="00944B91">
        <w:rPr>
          <w:rFonts w:ascii="Palatino Linotype" w:hAnsi="Palatino Linotype"/>
        </w:rPr>
        <w:t xml:space="preserve"> </w:t>
      </w:r>
    </w:p>
    <w:p w14:paraId="2FC18DE7" w14:textId="77777777" w:rsidR="00A24438" w:rsidRPr="00944B91" w:rsidRDefault="00A24438" w:rsidP="00A24438">
      <w:pPr>
        <w:pStyle w:val="ListeParagraf"/>
        <w:numPr>
          <w:ilvl w:val="0"/>
          <w:numId w:val="1"/>
        </w:numPr>
        <w:jc w:val="both"/>
        <w:rPr>
          <w:rFonts w:ascii="Palatino Linotype" w:hAnsi="Palatino Linotype"/>
        </w:rPr>
      </w:pPr>
      <w:r w:rsidRPr="00944B91">
        <w:rPr>
          <w:rFonts w:ascii="Palatino Linotype" w:hAnsi="Palatino Linotype"/>
          <w:highlight w:val="yellow"/>
        </w:rPr>
        <w:t>Kapatılan okullara kayıt, Bank Asya hesap hareketleri ve zaman gazetesi aboneliği</w:t>
      </w:r>
      <w:r w:rsidRPr="00944B91">
        <w:rPr>
          <w:rFonts w:ascii="Palatino Linotype" w:hAnsi="Palatino Linotype"/>
        </w:rPr>
        <w:t xml:space="preserve"> gibi yasal faaliyetlerin terör faaliyeti sayılamayacağına ilişkin tespitin </w:t>
      </w:r>
    </w:p>
    <w:p w14:paraId="2F6D9B1B" w14:textId="77777777" w:rsidR="005B1E10" w:rsidRPr="00944B91" w:rsidRDefault="00A24438" w:rsidP="00A24438">
      <w:pPr>
        <w:pStyle w:val="ListeParagraf"/>
        <w:jc w:val="both"/>
        <w:rPr>
          <w:rFonts w:ascii="Palatino Linotype" w:hAnsi="Palatino Linotype"/>
        </w:rPr>
      </w:pPr>
      <w:r w:rsidRPr="00944B91">
        <w:rPr>
          <w:rFonts w:ascii="Palatino Linotype" w:hAnsi="Palatino Linotype"/>
        </w:rPr>
        <w:t>Dosyamın</w:t>
      </w:r>
      <w:r w:rsidR="005B1E10" w:rsidRPr="00944B91">
        <w:rPr>
          <w:rFonts w:ascii="Palatino Linotype" w:hAnsi="Palatino Linotype"/>
        </w:rPr>
        <w:t xml:space="preserve"> değerlendirilmesinde göz önünde bulundurulmasını saygıyla talep ederim.   /  / 2022</w:t>
      </w:r>
    </w:p>
    <w:p w14:paraId="1AE41987" w14:textId="77777777" w:rsidR="005B1E10" w:rsidRPr="00944B91" w:rsidRDefault="005B1E10" w:rsidP="005B1E10">
      <w:pPr>
        <w:jc w:val="both"/>
        <w:rPr>
          <w:rFonts w:ascii="Palatino Linotype" w:hAnsi="Palatino Linotype"/>
        </w:rPr>
      </w:pPr>
    </w:p>
    <w:p w14:paraId="3BB404CB" w14:textId="77777777" w:rsidR="005B1E10" w:rsidRPr="00944B91" w:rsidRDefault="005B1E10" w:rsidP="005B1E10">
      <w:pPr>
        <w:rPr>
          <w:rFonts w:ascii="Palatino Linotype" w:hAnsi="Palatino Linotype"/>
        </w:rPr>
      </w:pPr>
      <w:r w:rsidRPr="00944B91">
        <w:rPr>
          <w:rFonts w:ascii="Palatino Linotype" w:hAnsi="Palatino Linotype"/>
        </w:rPr>
        <w:t>Sanık/ Sanık Vekili</w:t>
      </w:r>
    </w:p>
    <w:sectPr w:rsidR="005B1E10" w:rsidRPr="00944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05D3E"/>
    <w:multiLevelType w:val="hybridMultilevel"/>
    <w:tmpl w:val="AAA409C0"/>
    <w:lvl w:ilvl="0" w:tplc="864E07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DD6910"/>
    <w:multiLevelType w:val="hybridMultilevel"/>
    <w:tmpl w:val="AFF25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2207189">
    <w:abstractNumId w:val="0"/>
  </w:num>
  <w:num w:numId="2" w16cid:durableId="192479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0B"/>
    <w:rsid w:val="00086238"/>
    <w:rsid w:val="001F39D2"/>
    <w:rsid w:val="00210AA6"/>
    <w:rsid w:val="00277FC4"/>
    <w:rsid w:val="002F6394"/>
    <w:rsid w:val="003D1432"/>
    <w:rsid w:val="00402B8C"/>
    <w:rsid w:val="004A7F28"/>
    <w:rsid w:val="005B1E10"/>
    <w:rsid w:val="006C760B"/>
    <w:rsid w:val="006E16AB"/>
    <w:rsid w:val="00756ED6"/>
    <w:rsid w:val="007E37EF"/>
    <w:rsid w:val="00801AAC"/>
    <w:rsid w:val="009322A9"/>
    <w:rsid w:val="00944B91"/>
    <w:rsid w:val="00964403"/>
    <w:rsid w:val="00A24438"/>
    <w:rsid w:val="00A935CC"/>
    <w:rsid w:val="00AC5147"/>
    <w:rsid w:val="00AD4178"/>
    <w:rsid w:val="00B31163"/>
    <w:rsid w:val="00BC78F8"/>
    <w:rsid w:val="00D21F0A"/>
    <w:rsid w:val="00F24C86"/>
    <w:rsid w:val="00F25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8971"/>
  <w15:chartTrackingRefBased/>
  <w15:docId w15:val="{ABD1B7C5-8BB0-45FA-9AF6-83CCE097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4438"/>
    <w:pPr>
      <w:ind w:left="720"/>
      <w:contextualSpacing/>
    </w:pPr>
  </w:style>
  <w:style w:type="character" w:styleId="Kpr">
    <w:name w:val="Hyperlink"/>
    <w:basedOn w:val="VarsaylanParagrafYazTipi"/>
    <w:uiPriority w:val="99"/>
    <w:unhideWhenUsed/>
    <w:rsid w:val="002F6394"/>
    <w:rPr>
      <w:color w:val="0563C1" w:themeColor="hyperlink"/>
      <w:u w:val="single"/>
    </w:rPr>
  </w:style>
  <w:style w:type="character" w:styleId="zmlenmeyenBahsetme">
    <w:name w:val="Unresolved Mention"/>
    <w:basedOn w:val="VarsaylanParagrafYazTipi"/>
    <w:uiPriority w:val="99"/>
    <w:semiHidden/>
    <w:unhideWhenUsed/>
    <w:rsid w:val="002F6394"/>
    <w:rPr>
      <w:color w:val="605E5C"/>
      <w:shd w:val="clear" w:color="auto" w:fill="E1DFDD"/>
    </w:rPr>
  </w:style>
  <w:style w:type="character" w:customStyle="1" w:styleId="s2996d211">
    <w:name w:val="s2996d211"/>
    <w:basedOn w:val="VarsaylanParagrafYazTipi"/>
    <w:rsid w:val="00801AAC"/>
  </w:style>
  <w:style w:type="character" w:customStyle="1" w:styleId="s9776b88b">
    <w:name w:val="s9776b88b"/>
    <w:basedOn w:val="VarsaylanParagrafYazTipi"/>
    <w:rsid w:val="0080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doc.echr.coe.int/eng" TargetMode="External"/><Relationship Id="rId5" Type="http://schemas.openxmlformats.org/officeDocument/2006/relationships/hyperlink" Target="https://hudoc.echr.coe.int/eng?i=001-2199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1571</Words>
  <Characters>8957</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3</cp:revision>
  <dcterms:created xsi:type="dcterms:W3CDTF">2022-10-11T18:30:00Z</dcterms:created>
  <dcterms:modified xsi:type="dcterms:W3CDTF">2022-10-11T18:35:00Z</dcterms:modified>
</cp:coreProperties>
</file>