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32DD" w14:textId="77777777" w:rsidR="006B61B3" w:rsidRPr="00DA56A1" w:rsidRDefault="006B61B3" w:rsidP="00DA56A1">
      <w:pPr>
        <w:spacing w:after="120"/>
        <w:jc w:val="center"/>
        <w:rPr>
          <w:rFonts w:ascii="Palatino Linotype" w:hAnsi="Palatino Linotype"/>
          <w:b/>
          <w:sz w:val="24"/>
          <w:szCs w:val="24"/>
          <w:highlight w:val="yellow"/>
        </w:rPr>
      </w:pPr>
      <w:r w:rsidRPr="00DA56A1">
        <w:rPr>
          <w:rFonts w:ascii="Palatino Linotype" w:hAnsi="Palatino Linotype"/>
          <w:b/>
          <w:sz w:val="24"/>
          <w:szCs w:val="24"/>
          <w:highlight w:val="yellow"/>
        </w:rPr>
        <w:t>ANAYASA MAHKEMESİ BAŞKANLIĞI’NA</w:t>
      </w:r>
    </w:p>
    <w:p w14:paraId="37B23143" w14:textId="77777777" w:rsidR="006B61B3" w:rsidRPr="00DA56A1" w:rsidRDefault="00842CAE" w:rsidP="00DA56A1">
      <w:pPr>
        <w:spacing w:after="120"/>
        <w:jc w:val="center"/>
        <w:rPr>
          <w:rFonts w:ascii="Palatino Linotype" w:hAnsi="Palatino Linotype"/>
          <w:b/>
          <w:sz w:val="24"/>
          <w:szCs w:val="24"/>
          <w:highlight w:val="yellow"/>
        </w:rPr>
      </w:pPr>
      <w:r w:rsidRPr="00DA56A1">
        <w:rPr>
          <w:rFonts w:ascii="Palatino Linotype" w:hAnsi="Palatino Linotype"/>
          <w:b/>
          <w:sz w:val="24"/>
          <w:szCs w:val="24"/>
          <w:highlight w:val="yellow"/>
        </w:rPr>
        <w:t>YARGITAY ..</w:t>
      </w:r>
      <w:r w:rsidR="006B61B3" w:rsidRPr="00DA56A1">
        <w:rPr>
          <w:rFonts w:ascii="Palatino Linotype" w:hAnsi="Palatino Linotype"/>
          <w:b/>
          <w:sz w:val="24"/>
          <w:szCs w:val="24"/>
          <w:highlight w:val="yellow"/>
        </w:rPr>
        <w:t>. CEZA DAİRESİ BAŞKANLIĞI’NA</w:t>
      </w:r>
    </w:p>
    <w:p w14:paraId="4A189D2C" w14:textId="77777777" w:rsidR="006B61B3" w:rsidRPr="00DA56A1" w:rsidRDefault="006B61B3" w:rsidP="00DA56A1">
      <w:pPr>
        <w:spacing w:after="120"/>
        <w:jc w:val="center"/>
        <w:rPr>
          <w:rFonts w:ascii="Palatino Linotype" w:hAnsi="Palatino Linotype"/>
          <w:b/>
          <w:sz w:val="24"/>
          <w:szCs w:val="24"/>
          <w:highlight w:val="yellow"/>
        </w:rPr>
      </w:pPr>
      <w:r w:rsidRPr="00DA56A1">
        <w:rPr>
          <w:rFonts w:ascii="Palatino Linotype" w:hAnsi="Palatino Linotype"/>
          <w:b/>
          <w:sz w:val="24"/>
          <w:szCs w:val="24"/>
          <w:highlight w:val="yellow"/>
        </w:rPr>
        <w:t>……BÖLGE ADLİYE MAHKEMESİ BAŞKANLIĞI’NA</w:t>
      </w:r>
    </w:p>
    <w:p w14:paraId="2D5285EA" w14:textId="77777777" w:rsidR="006B61B3" w:rsidRPr="00DA56A1" w:rsidRDefault="006B61B3" w:rsidP="00DA56A1">
      <w:pPr>
        <w:spacing w:after="120"/>
        <w:jc w:val="center"/>
        <w:rPr>
          <w:rFonts w:ascii="Palatino Linotype" w:hAnsi="Palatino Linotype"/>
          <w:b/>
          <w:sz w:val="24"/>
          <w:szCs w:val="24"/>
          <w:highlight w:val="yellow"/>
        </w:rPr>
      </w:pPr>
      <w:r w:rsidRPr="00DA56A1">
        <w:rPr>
          <w:rFonts w:ascii="Palatino Linotype" w:hAnsi="Palatino Linotype"/>
          <w:b/>
          <w:sz w:val="24"/>
          <w:szCs w:val="24"/>
          <w:highlight w:val="yellow"/>
        </w:rPr>
        <w:t>……..BÖLGE İDARE MAHKEMESİ BAŞKANLIĞI’NA</w:t>
      </w:r>
    </w:p>
    <w:p w14:paraId="51E82F2F" w14:textId="77777777" w:rsidR="006B61B3" w:rsidRPr="00DA56A1" w:rsidRDefault="006B61B3" w:rsidP="00DA56A1">
      <w:pPr>
        <w:spacing w:after="120"/>
        <w:jc w:val="center"/>
        <w:rPr>
          <w:rFonts w:ascii="Palatino Linotype" w:hAnsi="Palatino Linotype"/>
          <w:b/>
          <w:sz w:val="24"/>
          <w:szCs w:val="24"/>
          <w:highlight w:val="yellow"/>
        </w:rPr>
      </w:pPr>
      <w:r w:rsidRPr="00DA56A1">
        <w:rPr>
          <w:rFonts w:ascii="Palatino Linotype" w:hAnsi="Palatino Linotype"/>
          <w:b/>
          <w:sz w:val="24"/>
          <w:szCs w:val="24"/>
          <w:highlight w:val="yellow"/>
        </w:rPr>
        <w:t>…AĞIR CEZA MAHKEMESİ BAŞKANLIĞI’NA</w:t>
      </w:r>
    </w:p>
    <w:p w14:paraId="5366FB5C" w14:textId="08F668D8" w:rsidR="006B61B3" w:rsidRPr="00DA56A1" w:rsidRDefault="006B61B3" w:rsidP="00DA56A1">
      <w:pPr>
        <w:spacing w:after="120"/>
        <w:jc w:val="center"/>
        <w:rPr>
          <w:rFonts w:ascii="Palatino Linotype" w:hAnsi="Palatino Linotype"/>
          <w:b/>
          <w:sz w:val="24"/>
          <w:szCs w:val="24"/>
          <w:highlight w:val="yellow"/>
        </w:rPr>
      </w:pPr>
      <w:r w:rsidRPr="00DA56A1">
        <w:rPr>
          <w:rFonts w:ascii="Palatino Linotype" w:hAnsi="Palatino Linotype"/>
          <w:b/>
          <w:sz w:val="24"/>
          <w:szCs w:val="24"/>
          <w:highlight w:val="yellow"/>
        </w:rPr>
        <w:t>….İDARE MAHKEMESİ BAŞKANLIĞI’NA</w:t>
      </w:r>
    </w:p>
    <w:p w14:paraId="7020EC39" w14:textId="319512EC" w:rsidR="00CC2D9B" w:rsidRPr="00DA56A1" w:rsidRDefault="00CC2D9B" w:rsidP="00DA56A1">
      <w:pPr>
        <w:spacing w:after="120"/>
        <w:jc w:val="center"/>
        <w:rPr>
          <w:rFonts w:ascii="Palatino Linotype" w:hAnsi="Palatino Linotype"/>
          <w:b/>
          <w:sz w:val="24"/>
          <w:szCs w:val="24"/>
        </w:rPr>
      </w:pPr>
      <w:r w:rsidRPr="00DA56A1">
        <w:rPr>
          <w:rFonts w:ascii="Palatino Linotype" w:hAnsi="Palatino Linotype"/>
          <w:b/>
          <w:sz w:val="24"/>
          <w:szCs w:val="24"/>
          <w:highlight w:val="yellow"/>
        </w:rPr>
        <w:t>DANIŞTAY … DAİRE BAŞKANLIĞINA</w:t>
      </w:r>
    </w:p>
    <w:p w14:paraId="3F03AB65" w14:textId="77777777" w:rsidR="00DA56A1" w:rsidRPr="00DA56A1" w:rsidRDefault="00DA56A1" w:rsidP="00DA56A1">
      <w:pPr>
        <w:spacing w:after="120"/>
        <w:jc w:val="center"/>
        <w:rPr>
          <w:rFonts w:ascii="Palatino Linotype" w:hAnsi="Palatino Linotype"/>
          <w:b/>
          <w:sz w:val="24"/>
          <w:szCs w:val="24"/>
        </w:rPr>
      </w:pPr>
    </w:p>
    <w:p w14:paraId="1AACD963" w14:textId="77777777" w:rsidR="005C57D1" w:rsidRDefault="005C57D1" w:rsidP="005C57D1">
      <w:pPr>
        <w:spacing w:after="120"/>
        <w:rPr>
          <w:rFonts w:ascii="Palatino Linotype" w:hAnsi="Palatino Linotype"/>
          <w:b/>
          <w:sz w:val="24"/>
          <w:szCs w:val="24"/>
          <w:highlight w:val="yellow"/>
        </w:rPr>
      </w:pPr>
    </w:p>
    <w:p w14:paraId="7EDE8C8A" w14:textId="3AC28398" w:rsidR="005C57D1" w:rsidRPr="00DA56A1" w:rsidRDefault="005C57D1" w:rsidP="005C57D1">
      <w:pPr>
        <w:spacing w:after="120"/>
        <w:rPr>
          <w:rFonts w:ascii="Palatino Linotype" w:hAnsi="Palatino Linotype"/>
          <w:b/>
          <w:sz w:val="24"/>
          <w:szCs w:val="24"/>
        </w:rPr>
      </w:pPr>
      <w:r w:rsidRPr="005C57D1">
        <w:rPr>
          <w:rFonts w:ascii="Palatino Linotype" w:hAnsi="Palatino Linotype"/>
          <w:b/>
          <w:sz w:val="24"/>
          <w:szCs w:val="24"/>
          <w:highlight w:val="yellow"/>
        </w:rPr>
        <w:t>Esas/Başvuru No:</w:t>
      </w:r>
      <w:r>
        <w:rPr>
          <w:rFonts w:ascii="Palatino Linotype" w:hAnsi="Palatino Linotype"/>
          <w:b/>
          <w:sz w:val="24"/>
          <w:szCs w:val="24"/>
        </w:rPr>
        <w:t xml:space="preserve"> </w:t>
      </w:r>
    </w:p>
    <w:p w14:paraId="30C5D7BB" w14:textId="77777777" w:rsidR="00623486" w:rsidRPr="00DA56A1" w:rsidRDefault="006B61B3" w:rsidP="00DA56A1">
      <w:pPr>
        <w:tabs>
          <w:tab w:val="left" w:pos="5810"/>
        </w:tabs>
        <w:spacing w:after="120"/>
        <w:jc w:val="both"/>
        <w:rPr>
          <w:rFonts w:ascii="Palatino Linotype" w:hAnsi="Palatino Linotype"/>
          <w:sz w:val="24"/>
          <w:szCs w:val="24"/>
        </w:rPr>
      </w:pPr>
      <w:r w:rsidRPr="00DA56A1">
        <w:rPr>
          <w:rFonts w:ascii="Palatino Linotype" w:hAnsi="Palatino Linotype"/>
          <w:b/>
          <w:sz w:val="24"/>
          <w:szCs w:val="24"/>
        </w:rPr>
        <w:t>KONU:</w:t>
      </w:r>
      <w:r w:rsidRPr="00DA56A1">
        <w:rPr>
          <w:rFonts w:ascii="Palatino Linotype" w:hAnsi="Palatino Linotype"/>
          <w:sz w:val="24"/>
          <w:szCs w:val="24"/>
        </w:rPr>
        <w:t xml:space="preserve"> </w:t>
      </w:r>
      <w:r w:rsidR="00156B83" w:rsidRPr="00DA56A1">
        <w:rPr>
          <w:rFonts w:ascii="Palatino Linotype" w:hAnsi="Palatino Linotype"/>
          <w:sz w:val="24"/>
          <w:szCs w:val="24"/>
        </w:rPr>
        <w:t xml:space="preserve">Birleşmiş Milletler İnsan Hakları Komitesi’nin </w:t>
      </w:r>
      <w:r w:rsidR="00623486" w:rsidRPr="00DA56A1">
        <w:rPr>
          <w:rFonts w:ascii="Palatino Linotype" w:hAnsi="Palatino Linotype"/>
          <w:sz w:val="24"/>
          <w:szCs w:val="24"/>
        </w:rPr>
        <w:t xml:space="preserve">15 Kasım 2022 tarih ve 3736/2020 sayılı </w:t>
      </w:r>
    </w:p>
    <w:p w14:paraId="30F1FC92" w14:textId="34F19DEB" w:rsidR="006B61B3" w:rsidRPr="00DA56A1" w:rsidRDefault="00623486" w:rsidP="00DA56A1">
      <w:pPr>
        <w:spacing w:after="120"/>
        <w:jc w:val="both"/>
        <w:rPr>
          <w:rFonts w:ascii="Palatino Linotype" w:hAnsi="Palatino Linotype"/>
          <w:sz w:val="24"/>
          <w:szCs w:val="24"/>
        </w:rPr>
      </w:pPr>
      <w:r w:rsidRPr="00DA56A1">
        <w:rPr>
          <w:rFonts w:ascii="Palatino Linotype" w:hAnsi="Palatino Linotype"/>
          <w:sz w:val="24"/>
          <w:szCs w:val="24"/>
        </w:rPr>
        <w:t>Mukadder A</w:t>
      </w:r>
      <w:r w:rsidR="00DA56A1" w:rsidRPr="00DA56A1">
        <w:rPr>
          <w:rFonts w:ascii="Palatino Linotype" w:hAnsi="Palatino Linotype"/>
          <w:sz w:val="24"/>
          <w:szCs w:val="24"/>
        </w:rPr>
        <w:t>lakuş kararında</w:t>
      </w:r>
      <w:r w:rsidRPr="00DA56A1">
        <w:rPr>
          <w:rFonts w:ascii="Palatino Linotype" w:hAnsi="Palatino Linotype"/>
          <w:sz w:val="24"/>
          <w:szCs w:val="24"/>
        </w:rPr>
        <w:t xml:space="preserve"> </w:t>
      </w:r>
      <w:r w:rsidR="00F86E1E" w:rsidRPr="00DA56A1">
        <w:rPr>
          <w:rFonts w:ascii="Palatino Linotype" w:hAnsi="Palatino Linotype"/>
          <w:sz w:val="24"/>
          <w:szCs w:val="24"/>
        </w:rPr>
        <w:t>yer verilen</w:t>
      </w:r>
      <w:r w:rsidR="00DA56A1" w:rsidRPr="00DA56A1">
        <w:rPr>
          <w:rFonts w:ascii="Palatino Linotype" w:hAnsi="Palatino Linotype"/>
          <w:sz w:val="24"/>
          <w:szCs w:val="24"/>
        </w:rPr>
        <w:t>;</w:t>
      </w:r>
      <w:r w:rsidR="006B61B3" w:rsidRPr="00DA56A1">
        <w:rPr>
          <w:rFonts w:ascii="Palatino Linotype" w:hAnsi="Palatino Linotype"/>
          <w:sz w:val="24"/>
          <w:szCs w:val="24"/>
        </w:rPr>
        <w:t xml:space="preserve"> </w:t>
      </w:r>
      <w:r w:rsidRPr="00DA56A1">
        <w:rPr>
          <w:rFonts w:ascii="Palatino Linotype" w:hAnsi="Palatino Linotype"/>
          <w:sz w:val="24"/>
          <w:szCs w:val="24"/>
        </w:rPr>
        <w:t xml:space="preserve">Bylock uygulamasını kullanmanın, Bank Asya’da hesabı bulunmanın </w:t>
      </w:r>
      <w:r w:rsidR="006B61B3" w:rsidRPr="00DA56A1">
        <w:rPr>
          <w:rFonts w:ascii="Palatino Linotype" w:hAnsi="Palatino Linotype"/>
          <w:sz w:val="24"/>
          <w:szCs w:val="24"/>
        </w:rPr>
        <w:t xml:space="preserve">suç niteliğine ilişkin </w:t>
      </w:r>
      <w:r w:rsidR="00F86E1E" w:rsidRPr="00DA56A1">
        <w:rPr>
          <w:rFonts w:ascii="Palatino Linotype" w:hAnsi="Palatino Linotype"/>
          <w:sz w:val="24"/>
          <w:szCs w:val="24"/>
        </w:rPr>
        <w:t>sonuçlar</w:t>
      </w:r>
      <w:r w:rsidR="008E1FF9" w:rsidRPr="00DA56A1">
        <w:rPr>
          <w:rFonts w:ascii="Palatino Linotype" w:hAnsi="Palatino Linotype"/>
          <w:sz w:val="24"/>
          <w:szCs w:val="24"/>
        </w:rPr>
        <w:t xml:space="preserve"> hakkında ek beyanlarımızın sunulmasıdır.</w:t>
      </w:r>
    </w:p>
    <w:p w14:paraId="34BF6F01" w14:textId="77777777" w:rsidR="00DA56A1" w:rsidRPr="00DA56A1" w:rsidRDefault="00DA56A1" w:rsidP="00DA56A1">
      <w:pPr>
        <w:spacing w:after="120"/>
        <w:jc w:val="center"/>
        <w:rPr>
          <w:rFonts w:ascii="Palatino Linotype" w:hAnsi="Palatino Linotype"/>
          <w:b/>
          <w:sz w:val="24"/>
          <w:szCs w:val="24"/>
        </w:rPr>
      </w:pPr>
    </w:p>
    <w:p w14:paraId="4E734C7F" w14:textId="34442154" w:rsidR="00842CAE" w:rsidRPr="005C57D1" w:rsidRDefault="00F86E1E" w:rsidP="00DA56A1">
      <w:pPr>
        <w:spacing w:after="120"/>
        <w:jc w:val="center"/>
        <w:rPr>
          <w:rFonts w:ascii="Palatino Linotype" w:hAnsi="Palatino Linotype"/>
          <w:b/>
          <w:sz w:val="24"/>
          <w:szCs w:val="24"/>
          <w:u w:val="single"/>
        </w:rPr>
      </w:pPr>
      <w:r w:rsidRPr="005C57D1">
        <w:rPr>
          <w:rFonts w:ascii="Palatino Linotype" w:hAnsi="Palatino Linotype"/>
          <w:b/>
          <w:sz w:val="24"/>
          <w:szCs w:val="24"/>
          <w:u w:val="single"/>
        </w:rPr>
        <w:t>AÇIKLAMALA</w:t>
      </w:r>
      <w:r w:rsidR="00623486" w:rsidRPr="005C57D1">
        <w:rPr>
          <w:rFonts w:ascii="Palatino Linotype" w:hAnsi="Palatino Linotype"/>
          <w:b/>
          <w:sz w:val="24"/>
          <w:szCs w:val="24"/>
          <w:u w:val="single"/>
        </w:rPr>
        <w:t>R</w:t>
      </w:r>
    </w:p>
    <w:p w14:paraId="1F2B5656" w14:textId="7B99B328" w:rsidR="008E1FF9" w:rsidRPr="00DA56A1" w:rsidRDefault="00156B83" w:rsidP="00DA56A1">
      <w:pPr>
        <w:spacing w:after="120"/>
        <w:jc w:val="both"/>
        <w:rPr>
          <w:rFonts w:ascii="Palatino Linotype" w:hAnsi="Palatino Linotype"/>
          <w:sz w:val="24"/>
          <w:szCs w:val="24"/>
        </w:rPr>
      </w:pPr>
      <w:r w:rsidRPr="00DA56A1">
        <w:rPr>
          <w:rFonts w:ascii="Palatino Linotype" w:hAnsi="Palatino Linotype"/>
          <w:sz w:val="24"/>
          <w:szCs w:val="24"/>
        </w:rPr>
        <w:t xml:space="preserve">Birleşmiş Milletler İnsan Hakları Komitesi’nin </w:t>
      </w:r>
      <w:r w:rsidR="00623486" w:rsidRPr="00DA56A1">
        <w:rPr>
          <w:rFonts w:ascii="Palatino Linotype" w:hAnsi="Palatino Linotype"/>
          <w:sz w:val="24"/>
          <w:szCs w:val="24"/>
        </w:rPr>
        <w:t xml:space="preserve">15 Kasım 2022 tarih ve 3736/2020 sayılı Mukadder ALAKUŞ </w:t>
      </w:r>
      <w:r w:rsidR="00763604" w:rsidRPr="00DA56A1">
        <w:rPr>
          <w:rFonts w:ascii="Palatino Linotype" w:hAnsi="Palatino Linotype"/>
          <w:sz w:val="24"/>
          <w:szCs w:val="24"/>
        </w:rPr>
        <w:t>kararında</w:t>
      </w:r>
      <w:r w:rsidR="006B61B3" w:rsidRPr="00DA56A1">
        <w:rPr>
          <w:rFonts w:ascii="Palatino Linotype" w:hAnsi="Palatino Linotype"/>
          <w:sz w:val="24"/>
          <w:szCs w:val="24"/>
        </w:rPr>
        <w:t>,</w:t>
      </w:r>
      <w:r w:rsidR="008E1FF9" w:rsidRPr="00DA56A1">
        <w:rPr>
          <w:rFonts w:ascii="Palatino Linotype" w:hAnsi="Palatino Linotype"/>
          <w:sz w:val="24"/>
          <w:szCs w:val="24"/>
        </w:rPr>
        <w:t xml:space="preserve"> </w:t>
      </w:r>
      <w:r w:rsidR="006B61B3" w:rsidRPr="00DA56A1">
        <w:rPr>
          <w:rFonts w:ascii="Palatino Linotype" w:hAnsi="Palatino Linotype"/>
          <w:sz w:val="24"/>
          <w:szCs w:val="24"/>
        </w:rPr>
        <w:t xml:space="preserve">Bylock </w:t>
      </w:r>
      <w:r w:rsidRPr="00DA56A1">
        <w:rPr>
          <w:rFonts w:ascii="Palatino Linotype" w:hAnsi="Palatino Linotype"/>
          <w:sz w:val="24"/>
          <w:szCs w:val="24"/>
        </w:rPr>
        <w:t>ve Bank A</w:t>
      </w:r>
      <w:r w:rsidR="00623486" w:rsidRPr="00DA56A1">
        <w:rPr>
          <w:rFonts w:ascii="Palatino Linotype" w:hAnsi="Palatino Linotype"/>
          <w:sz w:val="24"/>
          <w:szCs w:val="24"/>
        </w:rPr>
        <w:t>sya hesabı gibi</w:t>
      </w:r>
      <w:r w:rsidR="006B61B3" w:rsidRPr="00DA56A1">
        <w:rPr>
          <w:rFonts w:ascii="Palatino Linotype" w:hAnsi="Palatino Linotype"/>
          <w:sz w:val="24"/>
          <w:szCs w:val="24"/>
        </w:rPr>
        <w:t xml:space="preserve"> güncel yargılamalarda </w:t>
      </w:r>
      <w:r w:rsidR="00623486" w:rsidRPr="00DA56A1">
        <w:rPr>
          <w:rFonts w:ascii="Palatino Linotype" w:hAnsi="Palatino Linotype"/>
          <w:sz w:val="24"/>
          <w:szCs w:val="24"/>
        </w:rPr>
        <w:t>terör örgütü üyeliği için yasal delil</w:t>
      </w:r>
      <w:r w:rsidR="006B61B3" w:rsidRPr="00DA56A1">
        <w:rPr>
          <w:rFonts w:ascii="Palatino Linotype" w:hAnsi="Palatino Linotype"/>
          <w:sz w:val="24"/>
          <w:szCs w:val="24"/>
        </w:rPr>
        <w:t xml:space="preserve"> kabul e</w:t>
      </w:r>
      <w:r w:rsidR="00842CAE" w:rsidRPr="00DA56A1">
        <w:rPr>
          <w:rFonts w:ascii="Palatino Linotype" w:hAnsi="Palatino Linotype"/>
          <w:sz w:val="24"/>
          <w:szCs w:val="24"/>
        </w:rPr>
        <w:t>dilen hususlar hakkında</w:t>
      </w:r>
      <w:r w:rsidR="008E1FF9" w:rsidRPr="00DA56A1">
        <w:rPr>
          <w:rFonts w:ascii="Palatino Linotype" w:hAnsi="Palatino Linotype"/>
          <w:sz w:val="24"/>
          <w:szCs w:val="24"/>
        </w:rPr>
        <w:t xml:space="preserve"> </w:t>
      </w:r>
      <w:r w:rsidR="00842CAE" w:rsidRPr="00DA56A1">
        <w:rPr>
          <w:rFonts w:ascii="Palatino Linotype" w:hAnsi="Palatino Linotype"/>
          <w:sz w:val="24"/>
          <w:szCs w:val="24"/>
        </w:rPr>
        <w:t xml:space="preserve">önemli </w:t>
      </w:r>
      <w:r w:rsidR="00623486" w:rsidRPr="00DA56A1">
        <w:rPr>
          <w:rFonts w:ascii="Palatino Linotype" w:hAnsi="Palatino Linotype"/>
          <w:sz w:val="24"/>
          <w:szCs w:val="24"/>
        </w:rPr>
        <w:t>te</w:t>
      </w:r>
      <w:r w:rsidR="008E1FF9" w:rsidRPr="00DA56A1">
        <w:rPr>
          <w:rFonts w:ascii="Palatino Linotype" w:hAnsi="Palatino Linotype"/>
          <w:sz w:val="24"/>
          <w:szCs w:val="24"/>
        </w:rPr>
        <w:t>s</w:t>
      </w:r>
      <w:r w:rsidR="00623486" w:rsidRPr="00DA56A1">
        <w:rPr>
          <w:rFonts w:ascii="Palatino Linotype" w:hAnsi="Palatino Linotype"/>
          <w:sz w:val="24"/>
          <w:szCs w:val="24"/>
        </w:rPr>
        <w:t>p</w:t>
      </w:r>
      <w:r w:rsidR="008E1FF9" w:rsidRPr="00DA56A1">
        <w:rPr>
          <w:rFonts w:ascii="Palatino Linotype" w:hAnsi="Palatino Linotype"/>
          <w:sz w:val="24"/>
          <w:szCs w:val="24"/>
        </w:rPr>
        <w:t xml:space="preserve">itler yapmıştır. </w:t>
      </w:r>
    </w:p>
    <w:p w14:paraId="5C9BE533" w14:textId="77777777" w:rsidR="006B61B3" w:rsidRPr="00DA56A1" w:rsidRDefault="006B61B3" w:rsidP="00DA56A1">
      <w:pPr>
        <w:spacing w:after="120"/>
        <w:jc w:val="both"/>
        <w:rPr>
          <w:rFonts w:ascii="Palatino Linotype" w:hAnsi="Palatino Linotype"/>
          <w:sz w:val="24"/>
          <w:szCs w:val="24"/>
        </w:rPr>
      </w:pPr>
      <w:r w:rsidRPr="00DA56A1">
        <w:rPr>
          <w:rFonts w:ascii="Palatino Linotype" w:hAnsi="Palatino Linotype"/>
          <w:sz w:val="24"/>
          <w:szCs w:val="24"/>
        </w:rPr>
        <w:t xml:space="preserve">Şöyle ki; </w:t>
      </w:r>
    </w:p>
    <w:p w14:paraId="63B4CC10" w14:textId="59F54928" w:rsidR="006B61B3" w:rsidRPr="00DA56A1" w:rsidRDefault="000A1DDB" w:rsidP="00DA56A1">
      <w:pPr>
        <w:spacing w:after="120"/>
        <w:jc w:val="both"/>
        <w:rPr>
          <w:rFonts w:ascii="Palatino Linotype" w:hAnsi="Palatino Linotype"/>
          <w:sz w:val="24"/>
          <w:szCs w:val="24"/>
        </w:rPr>
      </w:pPr>
      <w:r w:rsidRPr="00DA56A1">
        <w:rPr>
          <w:rFonts w:ascii="Palatino Linotype" w:hAnsi="Palatino Linotype"/>
          <w:sz w:val="24"/>
          <w:szCs w:val="24"/>
        </w:rPr>
        <w:t>BM bu kararı ile yapıldığı tarihte ve halen yasal olan faaliyetlerin suç olduğu kabulüne</w:t>
      </w:r>
      <w:r w:rsidR="006B61B3" w:rsidRPr="00DA56A1">
        <w:rPr>
          <w:rFonts w:ascii="Palatino Linotype" w:hAnsi="Palatino Linotype"/>
          <w:sz w:val="24"/>
          <w:szCs w:val="24"/>
        </w:rPr>
        <w:t xml:space="preserve"> dayalı yargılamalara açıkça karşı çıkmış ve bu yargılamaların hukuksuzluğunu ortaya koymuştur.</w:t>
      </w:r>
      <w:r w:rsidR="00623486" w:rsidRPr="00DA56A1">
        <w:rPr>
          <w:rFonts w:ascii="Palatino Linotype" w:hAnsi="Palatino Linotype"/>
          <w:sz w:val="24"/>
          <w:szCs w:val="24"/>
        </w:rPr>
        <w:t xml:space="preserve"> Kararın şahs</w:t>
      </w:r>
      <w:r w:rsidR="00763604" w:rsidRPr="00DA56A1">
        <w:rPr>
          <w:rFonts w:ascii="Palatino Linotype" w:hAnsi="Palatino Linotype"/>
          <w:sz w:val="24"/>
          <w:szCs w:val="24"/>
        </w:rPr>
        <w:t xml:space="preserve">ıma </w:t>
      </w:r>
      <w:r w:rsidR="00623486" w:rsidRPr="00DA56A1">
        <w:rPr>
          <w:rFonts w:ascii="Palatino Linotype" w:hAnsi="Palatino Linotype"/>
          <w:sz w:val="24"/>
          <w:szCs w:val="24"/>
        </w:rPr>
        <w:t>ilişkin mah</w:t>
      </w:r>
      <w:r w:rsidR="00156B83" w:rsidRPr="00DA56A1">
        <w:rPr>
          <w:rFonts w:ascii="Palatino Linotype" w:hAnsi="Palatino Linotype"/>
          <w:sz w:val="24"/>
          <w:szCs w:val="24"/>
        </w:rPr>
        <w:t>kemenizde derdest dava ile il</w:t>
      </w:r>
      <w:r w:rsidR="00763604" w:rsidRPr="00DA56A1">
        <w:rPr>
          <w:rFonts w:ascii="Palatino Linotype" w:hAnsi="Palatino Linotype"/>
          <w:sz w:val="24"/>
          <w:szCs w:val="24"/>
        </w:rPr>
        <w:t>gili</w:t>
      </w:r>
      <w:r w:rsidR="00623486" w:rsidRPr="00DA56A1">
        <w:rPr>
          <w:rFonts w:ascii="Palatino Linotype" w:hAnsi="Palatino Linotype"/>
          <w:sz w:val="24"/>
          <w:szCs w:val="24"/>
        </w:rPr>
        <w:t xml:space="preserve"> kısımları şöyle özetlenebilir. </w:t>
      </w:r>
    </w:p>
    <w:p w14:paraId="2A05694A" w14:textId="447401EF" w:rsidR="00623486" w:rsidRPr="005C57D1" w:rsidRDefault="00623486" w:rsidP="00DA56A1">
      <w:pPr>
        <w:spacing w:after="120"/>
        <w:jc w:val="both"/>
        <w:rPr>
          <w:rFonts w:ascii="Palatino Linotype" w:hAnsi="Palatino Linotype"/>
          <w:b/>
          <w:bCs/>
          <w:iCs/>
          <w:sz w:val="24"/>
          <w:szCs w:val="24"/>
        </w:rPr>
      </w:pPr>
      <w:r w:rsidRPr="005C57D1">
        <w:rPr>
          <w:rFonts w:ascii="Palatino Linotype" w:hAnsi="Palatino Linotype"/>
          <w:b/>
          <w:bCs/>
          <w:iCs/>
          <w:sz w:val="24"/>
          <w:szCs w:val="24"/>
        </w:rPr>
        <w:t>Başvurucunun Tutuklanması Hukuka Aykırıdır</w:t>
      </w:r>
    </w:p>
    <w:p w14:paraId="2CA50FCE" w14:textId="77777777" w:rsidR="00623486" w:rsidRPr="00DA56A1" w:rsidRDefault="00623486" w:rsidP="00DA56A1">
      <w:pPr>
        <w:spacing w:after="120"/>
        <w:jc w:val="both"/>
        <w:rPr>
          <w:rFonts w:ascii="Palatino Linotype" w:hAnsi="Palatino Linotype"/>
          <w:i/>
          <w:sz w:val="24"/>
          <w:szCs w:val="24"/>
        </w:rPr>
      </w:pPr>
      <w:r w:rsidRPr="00DA56A1">
        <w:rPr>
          <w:rFonts w:ascii="Palatino Linotype" w:hAnsi="Palatino Linotype"/>
          <w:i/>
          <w:sz w:val="24"/>
          <w:szCs w:val="24"/>
        </w:rPr>
        <w:t>Komite, başvurucunun tutuklanmasının ve gözaltına alınmasının yalnızca Bylock uygulamasını kullandığı iddiasına, Bank Asya’da hesap sahibi olmasına ve barış</w:t>
      </w:r>
      <w:r w:rsidR="00156B83" w:rsidRPr="00DA56A1">
        <w:rPr>
          <w:rFonts w:ascii="Palatino Linotype" w:hAnsi="Palatino Linotype"/>
          <w:i/>
          <w:sz w:val="24"/>
          <w:szCs w:val="24"/>
        </w:rPr>
        <w:t xml:space="preserve">çıl bir mitinge katılmasına   </w:t>
      </w:r>
      <w:r w:rsidRPr="00DA56A1">
        <w:rPr>
          <w:rFonts w:ascii="Palatino Linotype" w:hAnsi="Palatino Linotype"/>
          <w:i/>
          <w:sz w:val="24"/>
          <w:szCs w:val="24"/>
        </w:rPr>
        <w:t xml:space="preserve">dayandırıldığı, suç işlediğine dair güçlü bir şüphe olduğunu gösteren somut bir kanıt bulunmadığı iddialarını dikkate almaktadır; </w:t>
      </w:r>
      <w:r w:rsidRPr="00DA56A1">
        <w:rPr>
          <w:rFonts w:ascii="Palatino Linotype" w:hAnsi="Palatino Linotype"/>
          <w:b/>
          <w:bCs/>
          <w:i/>
          <w:sz w:val="24"/>
          <w:szCs w:val="24"/>
        </w:rPr>
        <w:t>tutuklama kararı, bu kadar uzun bir süre boyunca tutuklu yargılanmasını haklı çıkaracak olguları veya kanıtları içermemektedir.</w:t>
      </w:r>
    </w:p>
    <w:p w14:paraId="4D96A0D1" w14:textId="77777777" w:rsidR="00DA56A1" w:rsidRDefault="00DA56A1" w:rsidP="00DA56A1">
      <w:pPr>
        <w:spacing w:after="120"/>
        <w:jc w:val="both"/>
        <w:rPr>
          <w:rFonts w:ascii="Palatino Linotype" w:hAnsi="Palatino Linotype"/>
          <w:b/>
          <w:bCs/>
          <w:i/>
          <w:sz w:val="24"/>
          <w:szCs w:val="24"/>
        </w:rPr>
      </w:pPr>
    </w:p>
    <w:p w14:paraId="535C1618" w14:textId="7AD4B7A8" w:rsidR="00623486" w:rsidRPr="005C57D1" w:rsidRDefault="00623486" w:rsidP="00DA56A1">
      <w:pPr>
        <w:spacing w:after="120"/>
        <w:jc w:val="both"/>
        <w:rPr>
          <w:rFonts w:ascii="Palatino Linotype" w:hAnsi="Palatino Linotype"/>
          <w:b/>
          <w:bCs/>
          <w:iCs/>
          <w:sz w:val="24"/>
          <w:szCs w:val="24"/>
        </w:rPr>
      </w:pPr>
      <w:r w:rsidRPr="005C57D1">
        <w:rPr>
          <w:rFonts w:ascii="Palatino Linotype" w:hAnsi="Palatino Linotype"/>
          <w:b/>
          <w:bCs/>
          <w:iCs/>
          <w:sz w:val="24"/>
          <w:szCs w:val="24"/>
        </w:rPr>
        <w:t xml:space="preserve">Başvurucu Hakkındaki Tutuklama Kararı “Keyfidir” </w:t>
      </w:r>
    </w:p>
    <w:p w14:paraId="0EC882C5" w14:textId="77777777" w:rsidR="00623486" w:rsidRPr="00DA56A1" w:rsidRDefault="00623486" w:rsidP="00DA56A1">
      <w:pPr>
        <w:spacing w:after="120"/>
        <w:jc w:val="both"/>
        <w:rPr>
          <w:rFonts w:ascii="Palatino Linotype" w:hAnsi="Palatino Linotype"/>
          <w:i/>
          <w:sz w:val="24"/>
          <w:szCs w:val="24"/>
        </w:rPr>
      </w:pPr>
      <w:r w:rsidRPr="00DA56A1">
        <w:rPr>
          <w:rFonts w:ascii="Palatino Linotype" w:hAnsi="Palatino Linotype"/>
          <w:i/>
          <w:sz w:val="24"/>
          <w:szCs w:val="24"/>
        </w:rPr>
        <w:t xml:space="preserve">Komite, "keyfilik" kavramının, uygunsuzluk, adaletsizlik, öngörülebilirlik eksikliği ve hukuka uygunluk unsurlarının yanı sıra makul olma, gereklilik ve orantılılık unsurlarını da içerecek şekilde geniş yorumlanması gerektiğini hatırlatır.  Komite, taraf başvurucunun tutuklanmasını haklı çıkaracak delillere ilişkin tutuklama emri veya gözaltı kararı dışında başka herhangi bir belge sunmadığını gözlemlemektedir. Bu koşullar </w:t>
      </w:r>
      <w:r w:rsidRPr="00DA56A1">
        <w:rPr>
          <w:rFonts w:ascii="Palatino Linotype" w:hAnsi="Palatino Linotype"/>
          <w:b/>
          <w:bCs/>
          <w:i/>
          <w:sz w:val="24"/>
          <w:szCs w:val="24"/>
        </w:rPr>
        <w:t>altında Komite, Türk Hükumetinin başvurucunun tutukluluğunun makul olma ve gereklilik kriterlerini karşıladığını göstermediğini düşünmektedir.</w:t>
      </w:r>
      <w:r w:rsidRPr="00DA56A1">
        <w:rPr>
          <w:rFonts w:ascii="Palatino Linotype" w:hAnsi="Palatino Linotype"/>
          <w:i/>
          <w:sz w:val="24"/>
          <w:szCs w:val="24"/>
        </w:rPr>
        <w:t xml:space="preserve"> Bu nedenle Komite, başvurucunun tutukluluğunun Sözleşme'nin 9 (1) maddesi kapsamındaki haklarının ihlaline yol açtığını tespit etmiştir. </w:t>
      </w:r>
    </w:p>
    <w:p w14:paraId="3D4D7032" w14:textId="77777777" w:rsidR="00623486" w:rsidRPr="00DA56A1" w:rsidRDefault="00623486" w:rsidP="00DA56A1">
      <w:pPr>
        <w:spacing w:after="120"/>
        <w:jc w:val="both"/>
        <w:rPr>
          <w:rFonts w:ascii="Palatino Linotype" w:hAnsi="Palatino Linotype"/>
          <w:i/>
          <w:sz w:val="24"/>
          <w:szCs w:val="24"/>
        </w:rPr>
      </w:pPr>
      <w:r w:rsidRPr="00DA56A1">
        <w:rPr>
          <w:rFonts w:ascii="Palatino Linotype" w:hAnsi="Palatino Linotype"/>
          <w:i/>
          <w:sz w:val="24"/>
          <w:szCs w:val="24"/>
        </w:rPr>
        <w:t xml:space="preserve">Komite, Sözleşme'nin 15(1) maddesiyle ilgili olarak, başvurucunun Bylock uygulamasını indirmek, bu uygulama aracılığıyla bilgi paylaşmak, Bank Asya’da hesap açmak ve barışçıl bir mitinge katılmak gibi iç hukukta suç olarak tanımlanmayan veya yasaklanmayan eylemler nedeniyle mahkum edildiği iddiasını not etmektedir. </w:t>
      </w:r>
    </w:p>
    <w:p w14:paraId="5ED60395" w14:textId="77777777" w:rsidR="00623486" w:rsidRPr="00DA56A1" w:rsidRDefault="00623486" w:rsidP="00DA56A1">
      <w:pPr>
        <w:spacing w:after="120"/>
        <w:jc w:val="both"/>
        <w:rPr>
          <w:rFonts w:ascii="Palatino Linotype" w:hAnsi="Palatino Linotype"/>
          <w:i/>
          <w:sz w:val="24"/>
          <w:szCs w:val="24"/>
        </w:rPr>
      </w:pPr>
      <w:r w:rsidRPr="00DA56A1">
        <w:rPr>
          <w:rFonts w:ascii="Palatino Linotype" w:hAnsi="Palatino Linotype"/>
          <w:i/>
          <w:sz w:val="24"/>
          <w:szCs w:val="24"/>
        </w:rPr>
        <w:t>Komite ayrıca, Yargıtay'ın "herhangi bir kişinin" Bylock uygulamasına dahil olmasının "herhangi bir şüpheye yer bırakmayacak şekilde kişinin terör örgütüyle bağlantısını kanıtladığını", (...) "Bylock mesajlaşma uygulaması, FETÖ terör örgütünün iletişim ihtiyaçlarını karşılamak için özel olarak tasarlanmış ve geliştirilmiş bir iletişim ağı olduğundan" değerlendirmelerini not etmektedir.</w:t>
      </w:r>
    </w:p>
    <w:p w14:paraId="535447AA" w14:textId="77777777" w:rsidR="00623486" w:rsidRPr="00DA56A1" w:rsidRDefault="00623486" w:rsidP="00DA56A1">
      <w:pPr>
        <w:spacing w:after="120"/>
        <w:jc w:val="both"/>
        <w:rPr>
          <w:rFonts w:ascii="Palatino Linotype" w:hAnsi="Palatino Linotype"/>
          <w:i/>
          <w:sz w:val="24"/>
          <w:szCs w:val="24"/>
        </w:rPr>
      </w:pPr>
      <w:r w:rsidRPr="00DA56A1">
        <w:rPr>
          <w:rFonts w:ascii="Palatino Linotype" w:hAnsi="Palatino Linotype"/>
          <w:i/>
          <w:sz w:val="24"/>
          <w:szCs w:val="24"/>
        </w:rPr>
        <w:t xml:space="preserve">Komite, bu tür bir değerlendirme veya </w:t>
      </w:r>
      <w:r w:rsidR="00156B83" w:rsidRPr="00DA56A1">
        <w:rPr>
          <w:rFonts w:ascii="Palatino Linotype" w:hAnsi="Palatino Linotype"/>
          <w:i/>
          <w:sz w:val="24"/>
          <w:szCs w:val="24"/>
        </w:rPr>
        <w:t>uygulamanın açıkça keyfi olduğu</w:t>
      </w:r>
      <w:r w:rsidRPr="00DA56A1">
        <w:rPr>
          <w:rFonts w:ascii="Palatino Linotype" w:hAnsi="Palatino Linotype"/>
          <w:i/>
          <w:sz w:val="24"/>
          <w:szCs w:val="24"/>
        </w:rPr>
        <w:t xml:space="preserve"> veya açık bir hata ya da adaletin reddi anlamına geldiği gösterilemediği sürece, her bir davadaki olguları ve delilleri değerlendirmenin veya ulusal mevzuatı uygulamanın taraf Devletlerin mahkemelerinin görevi olduğu yönündeki içtihadını hatırlatır.</w:t>
      </w:r>
    </w:p>
    <w:p w14:paraId="634E2B1C" w14:textId="4F6E33EB" w:rsidR="00623486" w:rsidRPr="005C57D1" w:rsidRDefault="00623486" w:rsidP="00DA56A1">
      <w:pPr>
        <w:spacing w:after="120"/>
        <w:jc w:val="both"/>
        <w:rPr>
          <w:rFonts w:ascii="Palatino Linotype" w:hAnsi="Palatino Linotype"/>
          <w:b/>
          <w:bCs/>
          <w:iCs/>
          <w:sz w:val="24"/>
          <w:szCs w:val="24"/>
        </w:rPr>
      </w:pPr>
      <w:r w:rsidRPr="005C57D1">
        <w:rPr>
          <w:rFonts w:ascii="Palatino Linotype" w:hAnsi="Palatino Linotype"/>
          <w:b/>
          <w:bCs/>
          <w:iCs/>
          <w:sz w:val="24"/>
          <w:szCs w:val="24"/>
        </w:rPr>
        <w:t>Suçların ve Cezaların Kanuniliği İlkesi İhlal Edilmiştir</w:t>
      </w:r>
    </w:p>
    <w:p w14:paraId="48D8AFA8" w14:textId="77777777" w:rsidR="00623486" w:rsidRPr="00DA56A1" w:rsidRDefault="00623486" w:rsidP="00DA56A1">
      <w:pPr>
        <w:spacing w:after="120"/>
        <w:jc w:val="both"/>
        <w:rPr>
          <w:rFonts w:ascii="Palatino Linotype" w:hAnsi="Palatino Linotype"/>
          <w:i/>
          <w:sz w:val="24"/>
          <w:szCs w:val="24"/>
        </w:rPr>
      </w:pPr>
      <w:r w:rsidRPr="00DA56A1">
        <w:rPr>
          <w:rFonts w:ascii="Palatino Linotype" w:hAnsi="Palatino Linotype"/>
          <w:i/>
          <w:sz w:val="24"/>
          <w:szCs w:val="24"/>
        </w:rPr>
        <w:t xml:space="preserve">Komite, hukukun üstünlüğünün temel ilkelerinden biri olan kanunilik ilkesinin, hem cezai sorumluluğun hem de cezanın, fiil veya ihmalin gerçekleştiği tarihte kanunda yer alan açık ve kesin hükümlerle sınırlı olmasını gerektirdiğini hatırlatır. Bunu yaparken Komite, başvurucunun eylemlerinin, işlendiği tarihte, Türk Ceza Kanunu veya uluslararası hukuk kapsamında yeterince tanımlanmış cezai suçlar teşkil edip etmediği sorusuyla kendisini sınırlamaktadır. </w:t>
      </w:r>
    </w:p>
    <w:p w14:paraId="3BD79BBE" w14:textId="77777777" w:rsidR="00623486" w:rsidRPr="00DA56A1" w:rsidRDefault="00623486" w:rsidP="00DA56A1">
      <w:pPr>
        <w:spacing w:after="120"/>
        <w:jc w:val="both"/>
        <w:rPr>
          <w:rFonts w:ascii="Palatino Linotype" w:hAnsi="Palatino Linotype"/>
          <w:i/>
          <w:sz w:val="24"/>
          <w:szCs w:val="24"/>
        </w:rPr>
      </w:pPr>
      <w:r w:rsidRPr="00DA56A1">
        <w:rPr>
          <w:rFonts w:ascii="Palatino Linotype" w:hAnsi="Palatino Linotype"/>
          <w:i/>
          <w:sz w:val="24"/>
          <w:szCs w:val="24"/>
        </w:rPr>
        <w:t>Komite, TCK’nın 314/1 maddesinin geniş tanımı ışığında ve anılan maddede düzenlenmiş suçu</w:t>
      </w:r>
      <w:r w:rsidR="00156B83" w:rsidRPr="00DA56A1">
        <w:rPr>
          <w:rFonts w:ascii="Palatino Linotype" w:hAnsi="Palatino Linotype"/>
          <w:i/>
          <w:sz w:val="24"/>
          <w:szCs w:val="24"/>
        </w:rPr>
        <w:t xml:space="preserve"> oluşturan eylemleri belirlemek</w:t>
      </w:r>
      <w:r w:rsidRPr="00DA56A1">
        <w:rPr>
          <w:rFonts w:ascii="Palatino Linotype" w:hAnsi="Palatino Linotype"/>
          <w:i/>
          <w:sz w:val="24"/>
          <w:szCs w:val="24"/>
        </w:rPr>
        <w:t xml:space="preserve"> için kullanılan kriterleri açıklığa kavuşturan i</w:t>
      </w:r>
      <w:r w:rsidR="00156B83" w:rsidRPr="00DA56A1">
        <w:rPr>
          <w:rFonts w:ascii="Palatino Linotype" w:hAnsi="Palatino Linotype"/>
          <w:i/>
          <w:sz w:val="24"/>
          <w:szCs w:val="24"/>
        </w:rPr>
        <w:t xml:space="preserve">ç hukuk hükümlerinin varlığına </w:t>
      </w:r>
      <w:r w:rsidRPr="00DA56A1">
        <w:rPr>
          <w:rFonts w:ascii="Palatino Linotype" w:hAnsi="Palatino Linotype"/>
          <w:i/>
          <w:sz w:val="24"/>
          <w:szCs w:val="24"/>
        </w:rPr>
        <w:t xml:space="preserve">ilişkin taraf Devletten bilgi gelmemesi nedeniyle </w:t>
      </w:r>
      <w:r w:rsidRPr="00DA56A1">
        <w:rPr>
          <w:rFonts w:ascii="Palatino Linotype" w:hAnsi="Palatino Linotype"/>
          <w:b/>
          <w:bCs/>
          <w:i/>
          <w:sz w:val="24"/>
          <w:szCs w:val="24"/>
        </w:rPr>
        <w:t xml:space="preserve">Komite, başvurucunun  Bylock uygulamasını ve Bank Asya hesabını kullandığı iddiasının, eylemlerin gerçekleştiği tarihte yeterince açık ve öngörülebilir cezai suçlar teşkil ettiği sonucuna varamamaktadır. </w:t>
      </w:r>
    </w:p>
    <w:p w14:paraId="597EAE73" w14:textId="69522FFE" w:rsidR="00F86E1E" w:rsidRPr="00DA56A1" w:rsidRDefault="00623486" w:rsidP="00DA56A1">
      <w:pPr>
        <w:spacing w:after="120"/>
        <w:jc w:val="both"/>
        <w:rPr>
          <w:rFonts w:ascii="Palatino Linotype" w:hAnsi="Palatino Linotype"/>
          <w:i/>
          <w:sz w:val="24"/>
          <w:szCs w:val="24"/>
        </w:rPr>
      </w:pPr>
      <w:r w:rsidRPr="00DA56A1">
        <w:rPr>
          <w:rFonts w:ascii="Palatino Linotype" w:hAnsi="Palatino Linotype"/>
          <w:i/>
          <w:sz w:val="24"/>
          <w:szCs w:val="24"/>
        </w:rPr>
        <w:lastRenderedPageBreak/>
        <w:t xml:space="preserve">Komite, ilke olarak, şifreli bir iletişim aracının veya banka hesabının sadece kullanılması veya indirilmesinin, konuşma kayıtları gibi başka delillerle desteklenmedikçe, kendi başına yasadışı bir silahlı örgüte üyeliğin kanıtı olamayacağını düşünmektedir. Taraf Devlet tarafından sunulan belgeye dayalı kanıtlar bulunmadığı için, Komite, başvurucunun 15(1) maddesi kapsamındaki haklarının ihlal edildiğine karar vermiştir.  </w:t>
      </w:r>
    </w:p>
    <w:p w14:paraId="5085724F" w14:textId="2C403676" w:rsidR="00A23DEA" w:rsidRPr="00DA56A1" w:rsidRDefault="00A23DEA" w:rsidP="00DA56A1">
      <w:pPr>
        <w:spacing w:after="120"/>
        <w:jc w:val="both"/>
        <w:rPr>
          <w:rFonts w:ascii="Palatino Linotype" w:hAnsi="Palatino Linotype"/>
          <w:b/>
          <w:bCs/>
          <w:iCs/>
          <w:sz w:val="24"/>
          <w:szCs w:val="24"/>
        </w:rPr>
      </w:pPr>
      <w:r w:rsidRPr="00DA56A1">
        <w:rPr>
          <w:rFonts w:ascii="Palatino Linotype" w:hAnsi="Palatino Linotype"/>
          <w:b/>
          <w:bCs/>
          <w:sz w:val="24"/>
          <w:szCs w:val="24"/>
        </w:rPr>
        <w:t>Medeni ve Siyasi Haklar Sözleşmesi</w:t>
      </w:r>
      <w:r w:rsidRPr="00DA56A1">
        <w:rPr>
          <w:rFonts w:ascii="Palatino Linotype" w:hAnsi="Palatino Linotype"/>
          <w:b/>
          <w:bCs/>
          <w:sz w:val="24"/>
          <w:szCs w:val="24"/>
        </w:rPr>
        <w:t xml:space="preserve">’nin Bağlayıcılığı </w:t>
      </w:r>
    </w:p>
    <w:p w14:paraId="20A8A233" w14:textId="77777777" w:rsidR="00A23DEA" w:rsidRPr="00DA56A1" w:rsidRDefault="00A23DEA" w:rsidP="00DA56A1">
      <w:pPr>
        <w:pStyle w:val="NormalWeb"/>
        <w:shd w:val="clear" w:color="auto" w:fill="FFFFFF"/>
        <w:spacing w:before="0" w:beforeAutospacing="0" w:after="120" w:afterAutospacing="0"/>
        <w:jc w:val="both"/>
        <w:rPr>
          <w:rFonts w:ascii="Palatino Linotype" w:hAnsi="Palatino Linotype"/>
          <w:color w:val="222222"/>
        </w:rPr>
      </w:pPr>
      <w:r w:rsidRPr="00DA56A1">
        <w:rPr>
          <w:rFonts w:ascii="Palatino Linotype" w:hAnsi="Palatino Linotype"/>
          <w:color w:val="222222"/>
        </w:rPr>
        <w:t>Türkiye’nin taraf olduğu insan haklarına ilişkin tüm uluslararası antlaşmaların etkisi aynıdır ve uygulanabilirliklerini kaynağını Anayasa’dan alırlar. Zira Anayasa’nın 90. maddesi gereğince</w:t>
      </w:r>
      <w:r w:rsidRPr="00DA56A1">
        <w:rPr>
          <w:rStyle w:val="Vurgu"/>
          <w:rFonts w:ascii="Palatino Linotype" w:hAnsi="Palatino Linotype"/>
          <w:color w:val="222222"/>
        </w:rPr>
        <w:t>; “…Türkiye Cumhuriyeti adına yabancı devletlerle ve milletlerarası kuruluşlarla yapılacak andlaşmaların onaylanması, Türkiye Büyük Millet Meclisinin onaylamayı bir kanunla uygun bulmasına bağlıdır. “…usulüne göre yürürlüğe konulmuş milletlerarası andlaşmalar kanun hükmündedir. Bunlar hakkında Anayasaya aykırılık iddiası ile Anayasa Mahkemesine başvurulamaz. Usulüne göre yürürlüğe konulmuş temel hak ve özgürlüklere ilişkin milletlerarası andlaşmalarla kanunların aynı konuda farklı hükümler içermesi nedeniyle çıkabilecek uyuşmazlıklarda milletlerarası andlaşma hükümleri esas alınır.”</w:t>
      </w:r>
    </w:p>
    <w:p w14:paraId="00633142" w14:textId="56143BA9" w:rsidR="00A23DEA" w:rsidRPr="00DA56A1" w:rsidRDefault="00A23DEA" w:rsidP="00DA56A1">
      <w:pPr>
        <w:pStyle w:val="NormalWeb"/>
        <w:shd w:val="clear" w:color="auto" w:fill="FFFFFF"/>
        <w:spacing w:before="0" w:beforeAutospacing="0" w:after="120" w:afterAutospacing="0"/>
        <w:jc w:val="both"/>
        <w:rPr>
          <w:rFonts w:ascii="Palatino Linotype" w:hAnsi="Palatino Linotype"/>
          <w:color w:val="222222"/>
        </w:rPr>
      </w:pPr>
      <w:r w:rsidRPr="00DA56A1">
        <w:rPr>
          <w:rFonts w:ascii="Palatino Linotype" w:hAnsi="Palatino Linotype"/>
          <w:color w:val="222222"/>
        </w:rPr>
        <w:t xml:space="preserve">Buna göre, </w:t>
      </w:r>
      <w:r w:rsidRPr="00DA56A1">
        <w:rPr>
          <w:rFonts w:ascii="Palatino Linotype" w:hAnsi="Palatino Linotype"/>
        </w:rPr>
        <w:t>Medeni ve Siyasi Haklar Sözleşmesi’nin</w:t>
      </w:r>
      <w:r w:rsidRPr="00DA56A1">
        <w:rPr>
          <w:rFonts w:ascii="Palatino Linotype" w:hAnsi="Palatino Linotype"/>
          <w:color w:val="222222"/>
        </w:rPr>
        <w:t xml:space="preserve"> (MSHS)</w:t>
      </w:r>
      <w:r w:rsidRPr="00DA56A1">
        <w:rPr>
          <w:rFonts w:ascii="Palatino Linotype" w:hAnsi="Palatino Linotype"/>
          <w:color w:val="222222"/>
        </w:rPr>
        <w:t xml:space="preserve"> hükümlerinin de aynı TCK, CMK, Medeni Kanun gibi bir kanun maddesi olduğunda ve mahkemelerce dikkate alınmaları gerektiğinde şüphe yoktur. Meclis tarafından bir kanun ile uygun bulunan ve taraf olunurken de uyulacağı taahhüt edilen sözleşmelerdeki hükümler artık birer iç hukuk maddeleridir.</w:t>
      </w:r>
    </w:p>
    <w:p w14:paraId="78656353" w14:textId="646F1EB7" w:rsidR="00A23DEA" w:rsidRPr="00DA56A1" w:rsidRDefault="00A23DEA" w:rsidP="00DA56A1">
      <w:pPr>
        <w:pStyle w:val="NormalWeb"/>
        <w:shd w:val="clear" w:color="auto" w:fill="FFFFFF"/>
        <w:spacing w:before="0" w:beforeAutospacing="0" w:after="120" w:afterAutospacing="0"/>
        <w:jc w:val="both"/>
        <w:rPr>
          <w:rFonts w:ascii="Palatino Linotype" w:hAnsi="Palatino Linotype"/>
          <w:color w:val="222222"/>
        </w:rPr>
      </w:pPr>
      <w:r w:rsidRPr="00DA56A1">
        <w:rPr>
          <w:rFonts w:ascii="Palatino Linotype" w:hAnsi="Palatino Linotype"/>
          <w:color w:val="222222"/>
        </w:rPr>
        <w:t xml:space="preserve">Ayrıca, </w:t>
      </w:r>
      <w:r w:rsidRPr="00DA56A1">
        <w:rPr>
          <w:rFonts w:ascii="Palatino Linotype" w:hAnsi="Palatino Linotype"/>
          <w:color w:val="222222"/>
        </w:rPr>
        <w:t>S</w:t>
      </w:r>
      <w:r w:rsidRPr="00DA56A1">
        <w:rPr>
          <w:rFonts w:ascii="Palatino Linotype" w:hAnsi="Palatino Linotype"/>
          <w:color w:val="222222"/>
        </w:rPr>
        <w:t>özleşme hükümleri Anayasa’ya aykırılıkları ileri sürülemeyeceğinden ve yasama organı tarafından da değiştirilemeyeceklerinden, kanunlardan ve bir anlamda da Anayasa hükümlerinden daha üst konumdadır. Bu nedenle, Türkiye’nin tarafı olduğu AİHS ve MSHS’in iç hukuktaki yerleri aynıdır. Bu Sözleşmelere ilişkin denetim organları olan AİHM ve Komite olmasaydı dahi Sözleşme hükümleri aynı zamanda iç hukukun bir parçası olduklarından, mahkemelerce öncelikle dikkate alınmaları gerekirdi. Aynı şekilde, Türkiye iki Sözleşme hükmüne uyacağını da açıkça taahhüt etmiştir (AİHS md.1, MSHS md. 2). Bu sebeple mahkemeler, önlerindeki olaya yasal dayanak ararken ilk önce Sözleşme ve Anayasa hükümlerine, daha sonra da sıralı yasal düzenlemelere bakmalıdırlar. </w:t>
      </w:r>
      <w:r w:rsidRPr="00DA56A1">
        <w:rPr>
          <w:rStyle w:val="Gl"/>
          <w:rFonts w:ascii="Palatino Linotype" w:hAnsi="Palatino Linotype"/>
          <w:b w:val="0"/>
          <w:bCs w:val="0"/>
          <w:color w:val="222222"/>
        </w:rPr>
        <w:t>Bu açıklamalar ışığında, sözleşmelerin bağlayıcılığı noktasında bir tereddüt bulunma</w:t>
      </w:r>
      <w:r w:rsidRPr="00DA56A1">
        <w:rPr>
          <w:rStyle w:val="Gl"/>
          <w:rFonts w:ascii="Palatino Linotype" w:hAnsi="Palatino Linotype"/>
          <w:b w:val="0"/>
          <w:bCs w:val="0"/>
          <w:color w:val="222222"/>
        </w:rPr>
        <w:t>maktadır</w:t>
      </w:r>
      <w:r w:rsidRPr="00DA56A1">
        <w:rPr>
          <w:rStyle w:val="Gl"/>
          <w:rFonts w:ascii="Palatino Linotype" w:hAnsi="Palatino Linotype"/>
          <w:b w:val="0"/>
          <w:bCs w:val="0"/>
          <w:color w:val="222222"/>
        </w:rPr>
        <w:t>.</w:t>
      </w:r>
    </w:p>
    <w:p w14:paraId="36760D28" w14:textId="596C8545" w:rsidR="00A23DEA" w:rsidRPr="00DA56A1" w:rsidRDefault="00A23DEA" w:rsidP="00DA56A1">
      <w:pPr>
        <w:spacing w:after="120"/>
        <w:jc w:val="both"/>
        <w:rPr>
          <w:rFonts w:ascii="Palatino Linotype" w:hAnsi="Palatino Linotype"/>
          <w:b/>
          <w:bCs/>
          <w:sz w:val="24"/>
          <w:szCs w:val="24"/>
        </w:rPr>
      </w:pPr>
      <w:r w:rsidRPr="00DA56A1">
        <w:rPr>
          <w:rFonts w:ascii="Palatino Linotype" w:hAnsi="Palatino Linotype"/>
          <w:b/>
          <w:bCs/>
          <w:sz w:val="24"/>
          <w:szCs w:val="24"/>
        </w:rPr>
        <w:t>İnsan Hakları Komitesi Kararlarının Bağlayıcılığı</w:t>
      </w:r>
    </w:p>
    <w:p w14:paraId="3BAC8ABC" w14:textId="77777777" w:rsidR="00A23DEA" w:rsidRPr="00DA56A1" w:rsidRDefault="00A23DEA" w:rsidP="00DA56A1">
      <w:pPr>
        <w:pStyle w:val="NormalWeb"/>
        <w:shd w:val="clear" w:color="auto" w:fill="FFFFFF"/>
        <w:spacing w:before="0" w:beforeAutospacing="0" w:after="120" w:afterAutospacing="0"/>
        <w:jc w:val="both"/>
        <w:rPr>
          <w:rFonts w:ascii="Palatino Linotype" w:hAnsi="Palatino Linotype"/>
          <w:color w:val="222222"/>
        </w:rPr>
      </w:pPr>
      <w:r w:rsidRPr="00DA56A1">
        <w:rPr>
          <w:rFonts w:ascii="Palatino Linotype" w:hAnsi="Palatino Linotype"/>
          <w:color w:val="222222"/>
        </w:rPr>
        <w:t>AİHM kararları, AİHS’in bağlayıcı bir yorumu olduğu gibi Komite’nin bireysel başvuru sonucu verdiği kararları da MSHS’nin bağlayıcı bir yorumudur.</w:t>
      </w:r>
    </w:p>
    <w:p w14:paraId="6553255D" w14:textId="17CAD53E" w:rsidR="00A23DEA" w:rsidRPr="00DA56A1" w:rsidRDefault="00A23DEA" w:rsidP="00DA56A1">
      <w:pPr>
        <w:pStyle w:val="NormalWeb"/>
        <w:shd w:val="clear" w:color="auto" w:fill="FFFFFF"/>
        <w:spacing w:before="0" w:beforeAutospacing="0" w:after="120" w:afterAutospacing="0"/>
        <w:jc w:val="both"/>
        <w:rPr>
          <w:rFonts w:ascii="Palatino Linotype" w:hAnsi="Palatino Linotype"/>
          <w:color w:val="222222"/>
        </w:rPr>
      </w:pPr>
      <w:r w:rsidRPr="00DA56A1">
        <w:rPr>
          <w:rFonts w:ascii="Palatino Linotype" w:hAnsi="Palatino Linotype"/>
          <w:color w:val="222222"/>
        </w:rPr>
        <w:t xml:space="preserve">Türkiye, AİHM kararlarının bağlayıcılığını taahhüt etmiştir (AİHS md. 46). </w:t>
      </w:r>
      <w:r w:rsidRPr="00DA56A1">
        <w:rPr>
          <w:rFonts w:ascii="Palatino Linotype" w:hAnsi="Palatino Linotype"/>
          <w:color w:val="222222"/>
        </w:rPr>
        <w:t>A</w:t>
      </w:r>
      <w:r w:rsidRPr="00DA56A1">
        <w:rPr>
          <w:rFonts w:ascii="Palatino Linotype" w:hAnsi="Palatino Linotype"/>
          <w:color w:val="222222"/>
        </w:rPr>
        <w:t xml:space="preserve">ynı durumun Komite için </w:t>
      </w:r>
      <w:r w:rsidRPr="00DA56A1">
        <w:rPr>
          <w:rFonts w:ascii="Palatino Linotype" w:hAnsi="Palatino Linotype"/>
          <w:color w:val="222222"/>
        </w:rPr>
        <w:t xml:space="preserve">de </w:t>
      </w:r>
      <w:r w:rsidRPr="00DA56A1">
        <w:rPr>
          <w:rFonts w:ascii="Palatino Linotype" w:hAnsi="Palatino Linotype"/>
          <w:color w:val="222222"/>
        </w:rPr>
        <w:t>söz konusu</w:t>
      </w:r>
      <w:r w:rsidRPr="00DA56A1">
        <w:rPr>
          <w:rFonts w:ascii="Palatino Linotype" w:hAnsi="Palatino Linotype"/>
          <w:color w:val="222222"/>
        </w:rPr>
        <w:t>dur. Z</w:t>
      </w:r>
      <w:r w:rsidRPr="00DA56A1">
        <w:rPr>
          <w:rFonts w:ascii="Palatino Linotype" w:hAnsi="Palatino Linotype"/>
          <w:color w:val="222222"/>
        </w:rPr>
        <w:t xml:space="preserve">ira Türkiye, MSHS’yi imzalarken Sözleşme’nin Komite’ye ilişkin hükümlerini kabul ettiği (md. 28 ve devamı) gibi Komitenin şikayetleri almasına (md. 40 ve devamı) da bir çekince koymamıştır. Ayrıca Türkiye, Komite’nin bireysel başvuruları inceleme yetkisini düzenleyen Ek İhtiyarı </w:t>
      </w:r>
      <w:r w:rsidRPr="00DA56A1">
        <w:rPr>
          <w:rFonts w:ascii="Palatino Linotype" w:hAnsi="Palatino Linotype"/>
          <w:color w:val="222222"/>
        </w:rPr>
        <w:lastRenderedPageBreak/>
        <w:t>Protokole 2006 yılında taraf olmuş ve gerekli depo işlemlerinden sonra bu Protokol Türkiye için 24 Şubat 2007 tarihinde yürürlüğe girmiştir.</w:t>
      </w:r>
    </w:p>
    <w:p w14:paraId="03960B29" w14:textId="52345400" w:rsidR="00A23DEA" w:rsidRPr="00DA56A1" w:rsidRDefault="00A23DEA" w:rsidP="00DA56A1">
      <w:pPr>
        <w:pStyle w:val="NormalWeb"/>
        <w:shd w:val="clear" w:color="auto" w:fill="FFFFFF"/>
        <w:spacing w:before="0" w:beforeAutospacing="0" w:after="120" w:afterAutospacing="0"/>
        <w:jc w:val="both"/>
        <w:rPr>
          <w:rFonts w:ascii="Palatino Linotype" w:hAnsi="Palatino Linotype"/>
          <w:color w:val="222222"/>
        </w:rPr>
      </w:pPr>
      <w:r w:rsidRPr="00DA56A1">
        <w:rPr>
          <w:rFonts w:ascii="Palatino Linotype" w:hAnsi="Palatino Linotype"/>
          <w:color w:val="222222"/>
        </w:rPr>
        <w:t>Türkiye bu Protokolü imzalayarak, AİHS/AİHM yetkisinin kabulünde olduğu gibi MSHS/Komite yetkisini de kabul etmiştir. Türkiye’nin, Komite’nin yetkisini kabul ettiğini ve kararlarını yerine getireceğini görmek için Sözleşmenin 2, 40, 41, 42. maddeleri ile Protokolün Giriş ve 1. maddesine bakmak yeterlidir.</w:t>
      </w:r>
      <w:r w:rsidRPr="00DA56A1">
        <w:rPr>
          <w:rStyle w:val="DipnotBavurusu"/>
          <w:rFonts w:ascii="Palatino Linotype" w:hAnsi="Palatino Linotype"/>
          <w:color w:val="222222"/>
        </w:rPr>
        <w:footnoteReference w:id="1"/>
      </w:r>
    </w:p>
    <w:p w14:paraId="2E36D4F9" w14:textId="51CAA89E" w:rsidR="00A23DEA" w:rsidRPr="00DA56A1" w:rsidRDefault="00A23DEA" w:rsidP="00DA56A1">
      <w:pPr>
        <w:pStyle w:val="NormalWeb"/>
        <w:shd w:val="clear" w:color="auto" w:fill="FFFFFF"/>
        <w:spacing w:before="0" w:beforeAutospacing="0" w:after="120" w:afterAutospacing="0"/>
        <w:jc w:val="both"/>
        <w:rPr>
          <w:rFonts w:ascii="Palatino Linotype" w:hAnsi="Palatino Linotype"/>
          <w:color w:val="222222"/>
        </w:rPr>
      </w:pPr>
      <w:r w:rsidRPr="00DA56A1">
        <w:rPr>
          <w:rFonts w:ascii="Palatino Linotype" w:hAnsi="Palatino Linotype"/>
          <w:color w:val="222222"/>
        </w:rPr>
        <w:t>Anayasa’nın 90, MSHS’in 2, 40 vd., Ek Protokol’ün Giriş ve 1. maddeleri ile Türkiye’nin beyan ve çekinceleri birlikte değerlendirildiğinde, MSHS’in ve Sözleşme’nin denetim organı olan Komite kararlarının bağlayıcılığı konusunda bir tereddüt yoktur. Aksi düşüncenin kabulü, Sözleşme ve İhtiyari Protokol’e taraf olmayı anlamsız hale getireceği gibi hukuki gerçeklikle de bağdaşmayacaktır.</w:t>
      </w:r>
    </w:p>
    <w:p w14:paraId="764B1134" w14:textId="533F22A1" w:rsidR="00A23DEA" w:rsidRDefault="00A23DEA" w:rsidP="00DA56A1">
      <w:pPr>
        <w:pStyle w:val="NormalWeb"/>
        <w:shd w:val="clear" w:color="auto" w:fill="FFFFFF"/>
        <w:spacing w:before="0" w:beforeAutospacing="0" w:after="120" w:afterAutospacing="0"/>
        <w:jc w:val="both"/>
        <w:rPr>
          <w:rFonts w:ascii="Palatino Linotype" w:hAnsi="Palatino Linotype"/>
          <w:color w:val="222222"/>
        </w:rPr>
      </w:pPr>
      <w:r w:rsidRPr="00DA56A1">
        <w:rPr>
          <w:rFonts w:ascii="Palatino Linotype" w:hAnsi="Palatino Linotype"/>
          <w:color w:val="222222"/>
        </w:rPr>
        <w:t>Ayrıca, bir denetim organının yetkisi tanındıktan sonra verdiği kararın bağlayıcılığının tartışılması abesle iştigaldir. Zira yetki, beraberinde bağlayıcılığı da getirir. Anayasa Mahkemesi ya da herhangi bir konuda yetkilendirilen bir mahkemenin kararlarının bağlayıcılığıyla ilgili bir şüphe bulunmadığı gibi Meclis’in kanun ile tanımış olduğu Komite’nin yetkisinin bir uzantısı olan karar ve işlemlerinin bağlayıcılığı konusunda da bir şüphe yoktur.</w:t>
      </w:r>
    </w:p>
    <w:p w14:paraId="38204E1C" w14:textId="77777777" w:rsidR="005C57D1" w:rsidRPr="00DA56A1" w:rsidRDefault="005C57D1" w:rsidP="00DA56A1">
      <w:pPr>
        <w:pStyle w:val="NormalWeb"/>
        <w:shd w:val="clear" w:color="auto" w:fill="FFFFFF"/>
        <w:spacing w:before="0" w:beforeAutospacing="0" w:after="120" w:afterAutospacing="0"/>
        <w:jc w:val="both"/>
        <w:rPr>
          <w:rFonts w:ascii="Palatino Linotype" w:hAnsi="Palatino Linotype"/>
          <w:color w:val="222222"/>
        </w:rPr>
      </w:pPr>
    </w:p>
    <w:p w14:paraId="2B162759" w14:textId="77777777" w:rsidR="00DA56A1" w:rsidRPr="00DA56A1" w:rsidRDefault="000A1DDB" w:rsidP="00DA56A1">
      <w:pPr>
        <w:spacing w:after="120"/>
        <w:jc w:val="both"/>
        <w:rPr>
          <w:rFonts w:ascii="Palatino Linotype" w:hAnsi="Palatino Linotype"/>
          <w:sz w:val="24"/>
          <w:szCs w:val="24"/>
        </w:rPr>
      </w:pPr>
      <w:r w:rsidRPr="00DA56A1">
        <w:rPr>
          <w:rFonts w:ascii="Palatino Linotype" w:hAnsi="Palatino Linotype"/>
          <w:b/>
          <w:sz w:val="24"/>
          <w:szCs w:val="24"/>
        </w:rPr>
        <w:t>SONUÇ VE İSTEM:</w:t>
      </w:r>
      <w:r w:rsidRPr="00DA56A1">
        <w:rPr>
          <w:rFonts w:ascii="Palatino Linotype" w:hAnsi="Palatino Linotype"/>
          <w:sz w:val="24"/>
          <w:szCs w:val="24"/>
        </w:rPr>
        <w:t xml:space="preserve"> </w:t>
      </w:r>
      <w:r w:rsidR="00F86E1E" w:rsidRPr="00DA56A1">
        <w:rPr>
          <w:rFonts w:ascii="Palatino Linotype" w:hAnsi="Palatino Linotype"/>
          <w:sz w:val="24"/>
          <w:szCs w:val="24"/>
        </w:rPr>
        <w:t>B</w:t>
      </w:r>
      <w:r w:rsidR="003566D0" w:rsidRPr="00DA56A1">
        <w:rPr>
          <w:rFonts w:ascii="Palatino Linotype" w:hAnsi="Palatino Linotype"/>
          <w:sz w:val="24"/>
          <w:szCs w:val="24"/>
        </w:rPr>
        <w:t xml:space="preserve">irleşmiş </w:t>
      </w:r>
      <w:r w:rsidR="00F86E1E" w:rsidRPr="00DA56A1">
        <w:rPr>
          <w:rFonts w:ascii="Palatino Linotype" w:hAnsi="Palatino Linotype"/>
          <w:sz w:val="24"/>
          <w:szCs w:val="24"/>
        </w:rPr>
        <w:t>M</w:t>
      </w:r>
      <w:r w:rsidR="003566D0" w:rsidRPr="00DA56A1">
        <w:rPr>
          <w:rFonts w:ascii="Palatino Linotype" w:hAnsi="Palatino Linotype"/>
          <w:sz w:val="24"/>
          <w:szCs w:val="24"/>
        </w:rPr>
        <w:t>illetler İnsan Hakları Komitesi</w:t>
      </w:r>
      <w:r w:rsidR="00402076" w:rsidRPr="00DA56A1">
        <w:rPr>
          <w:rFonts w:ascii="Palatino Linotype" w:hAnsi="Palatino Linotype"/>
          <w:sz w:val="24"/>
          <w:szCs w:val="24"/>
        </w:rPr>
        <w:t>’nin Mukadder Alakuş</w:t>
      </w:r>
      <w:r w:rsidR="003566D0" w:rsidRPr="00DA56A1">
        <w:rPr>
          <w:rFonts w:ascii="Palatino Linotype" w:hAnsi="Palatino Linotype"/>
          <w:sz w:val="24"/>
          <w:szCs w:val="24"/>
        </w:rPr>
        <w:t xml:space="preserve"> kararında yer ver</w:t>
      </w:r>
      <w:r w:rsidR="00402076" w:rsidRPr="00DA56A1">
        <w:rPr>
          <w:rFonts w:ascii="Palatino Linotype" w:hAnsi="Palatino Linotype"/>
          <w:sz w:val="24"/>
          <w:szCs w:val="24"/>
        </w:rPr>
        <w:t xml:space="preserve">diği </w:t>
      </w:r>
      <w:r w:rsidR="003566D0" w:rsidRPr="00DA56A1">
        <w:rPr>
          <w:rFonts w:ascii="Palatino Linotype" w:hAnsi="Palatino Linotype"/>
          <w:sz w:val="24"/>
          <w:szCs w:val="24"/>
        </w:rPr>
        <w:t>hususlar dikkate alındığında</w:t>
      </w:r>
      <w:r w:rsidR="000C38F0" w:rsidRPr="00DA56A1">
        <w:rPr>
          <w:rFonts w:ascii="Palatino Linotype" w:hAnsi="Palatino Linotype"/>
          <w:sz w:val="24"/>
          <w:szCs w:val="24"/>
        </w:rPr>
        <w:t>;</w:t>
      </w:r>
      <w:r w:rsidR="003566D0" w:rsidRPr="00DA56A1">
        <w:rPr>
          <w:rFonts w:ascii="Palatino Linotype" w:hAnsi="Palatino Linotype"/>
          <w:sz w:val="24"/>
          <w:szCs w:val="24"/>
        </w:rPr>
        <w:t xml:space="preserve"> </w:t>
      </w:r>
      <w:r w:rsidR="003566D0" w:rsidRPr="00DA56A1">
        <w:rPr>
          <w:rFonts w:ascii="Palatino Linotype" w:hAnsi="Palatino Linotype"/>
          <w:sz w:val="24"/>
          <w:szCs w:val="24"/>
          <w:highlight w:val="yellow"/>
        </w:rPr>
        <w:t xml:space="preserve">yargılandığım/yargılanmakta </w:t>
      </w:r>
      <w:r w:rsidR="003566D0" w:rsidRPr="00DA56A1">
        <w:rPr>
          <w:rFonts w:ascii="Palatino Linotype" w:hAnsi="Palatino Linotype"/>
          <w:sz w:val="24"/>
          <w:szCs w:val="24"/>
          <w:highlight w:val="yellow"/>
        </w:rPr>
        <w:lastRenderedPageBreak/>
        <w:t>olduğum</w:t>
      </w:r>
      <w:r w:rsidR="003566D0" w:rsidRPr="00DA56A1">
        <w:rPr>
          <w:rFonts w:ascii="Palatino Linotype" w:hAnsi="Palatino Linotype"/>
          <w:sz w:val="24"/>
          <w:szCs w:val="24"/>
        </w:rPr>
        <w:t xml:space="preserve"> </w:t>
      </w:r>
      <w:r w:rsidR="003566D0" w:rsidRPr="00DA56A1">
        <w:rPr>
          <w:rFonts w:ascii="Palatino Linotype" w:hAnsi="Palatino Linotype"/>
          <w:sz w:val="24"/>
          <w:szCs w:val="24"/>
          <w:highlight w:val="yellow"/>
        </w:rPr>
        <w:t>davada</w:t>
      </w:r>
      <w:r w:rsidR="003566D0" w:rsidRPr="00DA56A1">
        <w:rPr>
          <w:rFonts w:ascii="Palatino Linotype" w:hAnsi="Palatino Linotype"/>
          <w:sz w:val="24"/>
          <w:szCs w:val="24"/>
        </w:rPr>
        <w:t xml:space="preserve"> </w:t>
      </w:r>
      <w:r w:rsidR="003566D0" w:rsidRPr="00DA56A1">
        <w:rPr>
          <w:rFonts w:ascii="Palatino Linotype" w:hAnsi="Palatino Linotype"/>
          <w:sz w:val="24"/>
          <w:szCs w:val="24"/>
          <w:highlight w:val="yellow"/>
        </w:rPr>
        <w:t>örgüt üyeliğine</w:t>
      </w:r>
      <w:r w:rsidR="00402076" w:rsidRPr="00DA56A1">
        <w:rPr>
          <w:rFonts w:ascii="Palatino Linotype" w:hAnsi="Palatino Linotype"/>
          <w:sz w:val="24"/>
          <w:szCs w:val="24"/>
          <w:highlight w:val="yellow"/>
        </w:rPr>
        <w:t>/meslekten çıkarılamama</w:t>
      </w:r>
      <w:r w:rsidR="003566D0" w:rsidRPr="00DA56A1">
        <w:rPr>
          <w:rFonts w:ascii="Palatino Linotype" w:hAnsi="Palatino Linotype"/>
          <w:sz w:val="24"/>
          <w:szCs w:val="24"/>
        </w:rPr>
        <w:t xml:space="preserve"> delil kabul edilen </w:t>
      </w:r>
      <w:r w:rsidR="003566D0" w:rsidRPr="00DA56A1">
        <w:rPr>
          <w:rFonts w:ascii="Palatino Linotype" w:hAnsi="Palatino Linotype"/>
          <w:sz w:val="24"/>
          <w:szCs w:val="24"/>
          <w:highlight w:val="yellow"/>
        </w:rPr>
        <w:t>Bylock kullanımı</w:t>
      </w:r>
      <w:r w:rsidR="000C38F0" w:rsidRPr="00DA56A1">
        <w:rPr>
          <w:rFonts w:ascii="Palatino Linotype" w:hAnsi="Palatino Linotype"/>
          <w:sz w:val="24"/>
          <w:szCs w:val="24"/>
          <w:highlight w:val="yellow"/>
        </w:rPr>
        <w:t>/</w:t>
      </w:r>
      <w:r w:rsidR="003566D0" w:rsidRPr="00DA56A1">
        <w:rPr>
          <w:rFonts w:ascii="Palatino Linotype" w:hAnsi="Palatino Linotype"/>
          <w:sz w:val="24"/>
          <w:szCs w:val="24"/>
          <w:highlight w:val="yellow"/>
        </w:rPr>
        <w:t>Bank Asya’da hesap hareketliliği</w:t>
      </w:r>
      <w:r w:rsidR="000C38F0" w:rsidRPr="00DA56A1">
        <w:rPr>
          <w:rFonts w:ascii="Palatino Linotype" w:hAnsi="Palatino Linotype"/>
          <w:sz w:val="24"/>
          <w:szCs w:val="24"/>
          <w:highlight w:val="yellow"/>
        </w:rPr>
        <w:t xml:space="preserve">, </w:t>
      </w:r>
      <w:r w:rsidR="003566D0" w:rsidRPr="00DA56A1">
        <w:rPr>
          <w:rFonts w:ascii="Palatino Linotype" w:hAnsi="Palatino Linotype"/>
          <w:sz w:val="24"/>
          <w:szCs w:val="24"/>
          <w:highlight w:val="yellow"/>
        </w:rPr>
        <w:t>dernek/sendika üyeliği/barışçıl dini sohbetlere katılma/kamuya yararlı dernek statüsü verilen Kimse Yok mu derneğine yardım/</w:t>
      </w:r>
      <w:r w:rsidR="00402076" w:rsidRPr="00DA56A1">
        <w:rPr>
          <w:rFonts w:ascii="Palatino Linotype" w:hAnsi="Palatino Linotype"/>
          <w:sz w:val="24"/>
          <w:szCs w:val="24"/>
          <w:highlight w:val="yellow"/>
        </w:rPr>
        <w:t>gazete-dergi aboneliği/bazı yayınevi ve yazarlara ait kitapların bulunması/</w:t>
      </w:r>
      <w:r w:rsidR="003566D0" w:rsidRPr="00DA56A1">
        <w:rPr>
          <w:rFonts w:ascii="Palatino Linotype" w:hAnsi="Palatino Linotype"/>
          <w:sz w:val="24"/>
          <w:szCs w:val="24"/>
          <w:highlight w:val="yellow"/>
        </w:rPr>
        <w:t>okul</w:t>
      </w:r>
      <w:r w:rsidR="000C38F0" w:rsidRPr="00DA56A1">
        <w:rPr>
          <w:rFonts w:ascii="Palatino Linotype" w:hAnsi="Palatino Linotype"/>
          <w:sz w:val="24"/>
          <w:szCs w:val="24"/>
          <w:highlight w:val="yellow"/>
        </w:rPr>
        <w:t xml:space="preserve"> veya dershaneye çocuğumu gönderme/bu gibi yasal ve rutin faaliyetlerde bulunduğuma ilişkin tanık beyanlarının</w:t>
      </w:r>
      <w:r w:rsidR="000C38F0" w:rsidRPr="00DA56A1">
        <w:rPr>
          <w:rFonts w:ascii="Palatino Linotype" w:hAnsi="Palatino Linotype"/>
          <w:sz w:val="24"/>
          <w:szCs w:val="24"/>
        </w:rPr>
        <w:t xml:space="preserve"> tamamı </w:t>
      </w:r>
      <w:r w:rsidR="000C38F0" w:rsidRPr="00DA56A1">
        <w:rPr>
          <w:rFonts w:ascii="Palatino Linotype" w:hAnsi="Palatino Linotype"/>
          <w:sz w:val="24"/>
          <w:szCs w:val="24"/>
        </w:rPr>
        <w:t xml:space="preserve">yasal ve rutin faaliyetlerdir ve </w:t>
      </w:r>
      <w:r w:rsidR="000C38F0" w:rsidRPr="00DA56A1">
        <w:rPr>
          <w:rFonts w:ascii="Palatino Linotype" w:hAnsi="Palatino Linotype"/>
          <w:sz w:val="24"/>
          <w:szCs w:val="24"/>
          <w:highlight w:val="yellow"/>
        </w:rPr>
        <w:t>bunlara dayanılarak</w:t>
      </w:r>
      <w:r w:rsidR="001A42C8" w:rsidRPr="00DA56A1">
        <w:rPr>
          <w:rFonts w:ascii="Palatino Linotype" w:hAnsi="Palatino Linotype"/>
          <w:sz w:val="24"/>
          <w:szCs w:val="24"/>
          <w:highlight w:val="yellow"/>
        </w:rPr>
        <w:t xml:space="preserve"> bırakın mahkumiyet kararı verilmesini,</w:t>
      </w:r>
      <w:r w:rsidR="000C38F0" w:rsidRPr="00DA56A1">
        <w:rPr>
          <w:rFonts w:ascii="Palatino Linotype" w:hAnsi="Palatino Linotype"/>
          <w:sz w:val="24"/>
          <w:szCs w:val="24"/>
          <w:highlight w:val="yellow"/>
        </w:rPr>
        <w:t xml:space="preserve"> bir kişi</w:t>
      </w:r>
      <w:r w:rsidR="00CC2D9B" w:rsidRPr="00DA56A1">
        <w:rPr>
          <w:rFonts w:ascii="Palatino Linotype" w:hAnsi="Palatino Linotype"/>
          <w:sz w:val="24"/>
          <w:szCs w:val="24"/>
          <w:highlight w:val="yellow"/>
        </w:rPr>
        <w:t xml:space="preserve">nin tutuklanması </w:t>
      </w:r>
      <w:r w:rsidR="001A42C8" w:rsidRPr="00DA56A1">
        <w:rPr>
          <w:rFonts w:ascii="Palatino Linotype" w:hAnsi="Palatino Linotype"/>
          <w:sz w:val="24"/>
          <w:szCs w:val="24"/>
          <w:highlight w:val="yellow"/>
        </w:rPr>
        <w:t>bile</w:t>
      </w:r>
      <w:r w:rsidR="000C38F0" w:rsidRPr="00DA56A1">
        <w:rPr>
          <w:rFonts w:ascii="Palatino Linotype" w:hAnsi="Palatino Linotype"/>
          <w:sz w:val="24"/>
          <w:szCs w:val="24"/>
          <w:highlight w:val="yellow"/>
        </w:rPr>
        <w:t xml:space="preserve"> hukuka aykırı ve keyfidir/</w:t>
      </w:r>
      <w:r w:rsidR="00CC2D9B" w:rsidRPr="00DA56A1">
        <w:rPr>
          <w:rFonts w:ascii="Palatino Linotype" w:hAnsi="Palatino Linotype"/>
          <w:sz w:val="24"/>
          <w:szCs w:val="24"/>
          <w:highlight w:val="yellow"/>
        </w:rPr>
        <w:t>bu</w:t>
      </w:r>
      <w:r w:rsidR="000C38F0" w:rsidRPr="00DA56A1">
        <w:rPr>
          <w:rFonts w:ascii="Palatino Linotype" w:hAnsi="Palatino Linotype"/>
          <w:sz w:val="24"/>
          <w:szCs w:val="24"/>
          <w:highlight w:val="yellow"/>
        </w:rPr>
        <w:t xml:space="preserve"> faaliyetler nedeniyle verilen mahkumiyet kararı</w:t>
      </w:r>
      <w:r w:rsidR="001A42C8" w:rsidRPr="00DA56A1">
        <w:rPr>
          <w:rFonts w:ascii="Palatino Linotype" w:hAnsi="Palatino Linotype"/>
          <w:sz w:val="24"/>
          <w:szCs w:val="24"/>
          <w:highlight w:val="yellow"/>
        </w:rPr>
        <w:t>na dayanılarak</w:t>
      </w:r>
      <w:r w:rsidR="000C38F0" w:rsidRPr="00DA56A1">
        <w:rPr>
          <w:rFonts w:ascii="Palatino Linotype" w:hAnsi="Palatino Linotype"/>
          <w:sz w:val="24"/>
          <w:szCs w:val="24"/>
          <w:highlight w:val="yellow"/>
        </w:rPr>
        <w:t xml:space="preserve"> meslekten çıkarılmam açıkça hukuka </w:t>
      </w:r>
      <w:r w:rsidR="001A42C8" w:rsidRPr="00DA56A1">
        <w:rPr>
          <w:rFonts w:ascii="Palatino Linotype" w:hAnsi="Palatino Linotype"/>
          <w:sz w:val="24"/>
          <w:szCs w:val="24"/>
        </w:rPr>
        <w:t xml:space="preserve"> ve </w:t>
      </w:r>
      <w:r w:rsidR="000C38F0" w:rsidRPr="00DA56A1">
        <w:rPr>
          <w:rFonts w:ascii="Palatino Linotype" w:hAnsi="Palatino Linotype"/>
          <w:sz w:val="24"/>
          <w:szCs w:val="24"/>
        </w:rPr>
        <w:t>“suç ve cezaların yasallığı ilkesine” aykırı</w:t>
      </w:r>
      <w:r w:rsidR="001A42C8" w:rsidRPr="00DA56A1">
        <w:rPr>
          <w:rFonts w:ascii="Palatino Linotype" w:hAnsi="Palatino Linotype"/>
          <w:sz w:val="24"/>
          <w:szCs w:val="24"/>
        </w:rPr>
        <w:t xml:space="preserve">dır. </w:t>
      </w:r>
    </w:p>
    <w:p w14:paraId="0ADA4A07" w14:textId="1571F310" w:rsidR="000A1DDB" w:rsidRPr="00DA56A1" w:rsidRDefault="00402076" w:rsidP="00DA56A1">
      <w:pPr>
        <w:spacing w:after="120"/>
        <w:jc w:val="both"/>
        <w:rPr>
          <w:rFonts w:ascii="Palatino Linotype" w:hAnsi="Palatino Linotype"/>
          <w:sz w:val="24"/>
          <w:szCs w:val="24"/>
        </w:rPr>
      </w:pPr>
      <w:r w:rsidRPr="00DA56A1">
        <w:rPr>
          <w:rFonts w:ascii="Palatino Linotype" w:hAnsi="Palatino Linotype"/>
          <w:sz w:val="24"/>
          <w:szCs w:val="24"/>
        </w:rPr>
        <w:t xml:space="preserve">Anayasa'nın 90. maddesi </w:t>
      </w:r>
      <w:r w:rsidR="001A42C8" w:rsidRPr="00DA56A1">
        <w:rPr>
          <w:rFonts w:ascii="Palatino Linotype" w:hAnsi="Palatino Linotype"/>
          <w:sz w:val="24"/>
          <w:szCs w:val="24"/>
        </w:rPr>
        <w:t xml:space="preserve">gereğince kanun hükmünde olan ve Türkiye’nin de taraf olduğu </w:t>
      </w:r>
      <w:r w:rsidR="001A42C8" w:rsidRPr="00DA56A1">
        <w:rPr>
          <w:rFonts w:ascii="Palatino Linotype" w:hAnsi="Palatino Linotype"/>
          <w:sz w:val="24"/>
          <w:szCs w:val="24"/>
        </w:rPr>
        <w:t>Medeni ve Siyasi Haklar Sözleşmesi</w:t>
      </w:r>
      <w:r w:rsidR="001A42C8" w:rsidRPr="00DA56A1">
        <w:rPr>
          <w:rFonts w:ascii="Palatino Linotype" w:hAnsi="Palatino Linotype"/>
          <w:sz w:val="24"/>
          <w:szCs w:val="24"/>
        </w:rPr>
        <w:t>’ne dayanılarak Birleşmiş Milletlerin en yetkili yargısal nitelikli mercii olan İnsan Hakları Komitesi’nce verilen bu karar  gereğince</w:t>
      </w:r>
      <w:r w:rsidRPr="00DA56A1">
        <w:rPr>
          <w:rFonts w:ascii="Palatino Linotype" w:hAnsi="Palatino Linotype"/>
          <w:sz w:val="24"/>
          <w:szCs w:val="24"/>
        </w:rPr>
        <w:t xml:space="preserve"> </w:t>
      </w:r>
      <w:r w:rsidR="00CC2D9B" w:rsidRPr="00DA56A1">
        <w:rPr>
          <w:rFonts w:ascii="Palatino Linotype" w:hAnsi="Palatino Linotype"/>
          <w:sz w:val="24"/>
          <w:szCs w:val="24"/>
        </w:rPr>
        <w:t xml:space="preserve"> </w:t>
      </w:r>
      <w:r w:rsidR="00CC2D9B" w:rsidRPr="00DA56A1">
        <w:rPr>
          <w:rFonts w:ascii="Palatino Linotype" w:hAnsi="Palatino Linotype"/>
          <w:sz w:val="24"/>
          <w:szCs w:val="24"/>
          <w:highlight w:val="yellow"/>
        </w:rPr>
        <w:t>hakkımda devam eden yargılamada tahliyeme ve beraatıma (Ağır ceza mahkemesinde yargılaması devam edenler için)/verilen mahkumiyet kararının bozulmasını (dosyası bölge adliye mahkemesi ya da Yargıtay da olanlar için) /yaptığım bireysel başvuruyla ilgili aynı gerekçelerle ihlal kararı verilmesini (Anayasa Mahkemesi’ne yazılacak dilekçeler için)/bu gerekçelerle verilen meslekten çıkarma kararının iptaline (idare mahkemeleri ve Danıştay için)</w:t>
      </w:r>
      <w:r w:rsidR="00CC2D9B" w:rsidRPr="00DA56A1">
        <w:rPr>
          <w:rFonts w:ascii="Palatino Linotype" w:hAnsi="Palatino Linotype"/>
          <w:sz w:val="24"/>
          <w:szCs w:val="24"/>
        </w:rPr>
        <w:t xml:space="preserve"> </w:t>
      </w:r>
      <w:r w:rsidR="000A1DDB" w:rsidRPr="00DA56A1">
        <w:rPr>
          <w:rFonts w:ascii="Palatino Linotype" w:hAnsi="Palatino Linotype"/>
          <w:sz w:val="24"/>
          <w:szCs w:val="24"/>
        </w:rPr>
        <w:t>karar verilmesini talep ederim.   /  /</w:t>
      </w:r>
      <w:r w:rsidR="00156B83" w:rsidRPr="00DA56A1">
        <w:rPr>
          <w:rFonts w:ascii="Palatino Linotype" w:hAnsi="Palatino Linotype"/>
          <w:sz w:val="24"/>
          <w:szCs w:val="24"/>
        </w:rPr>
        <w:t>2022</w:t>
      </w:r>
    </w:p>
    <w:p w14:paraId="1E81237A" w14:textId="77777777" w:rsidR="00DA56A1" w:rsidRPr="00DA56A1" w:rsidRDefault="00DA56A1" w:rsidP="00DA56A1">
      <w:pPr>
        <w:spacing w:after="120"/>
        <w:ind w:left="6372"/>
        <w:jc w:val="both"/>
        <w:rPr>
          <w:rFonts w:ascii="Palatino Linotype" w:hAnsi="Palatino Linotype"/>
          <w:sz w:val="24"/>
          <w:szCs w:val="24"/>
        </w:rPr>
      </w:pPr>
    </w:p>
    <w:p w14:paraId="7AE6545B" w14:textId="77777777" w:rsidR="00DA56A1" w:rsidRPr="00DA56A1" w:rsidRDefault="00DA56A1" w:rsidP="00DA56A1">
      <w:pPr>
        <w:spacing w:after="120"/>
        <w:ind w:left="6372"/>
        <w:jc w:val="both"/>
        <w:rPr>
          <w:rFonts w:ascii="Palatino Linotype" w:hAnsi="Palatino Linotype"/>
          <w:sz w:val="24"/>
          <w:szCs w:val="24"/>
        </w:rPr>
      </w:pPr>
    </w:p>
    <w:p w14:paraId="7356AF0E" w14:textId="5B3AD410" w:rsidR="000A1DDB" w:rsidRPr="00DA56A1" w:rsidRDefault="000A1DDB" w:rsidP="00DA56A1">
      <w:pPr>
        <w:spacing w:after="120"/>
        <w:ind w:left="6372"/>
        <w:jc w:val="both"/>
        <w:rPr>
          <w:rFonts w:ascii="Palatino Linotype" w:hAnsi="Palatino Linotype"/>
          <w:sz w:val="24"/>
          <w:szCs w:val="24"/>
          <w:highlight w:val="yellow"/>
        </w:rPr>
      </w:pPr>
      <w:r w:rsidRPr="00DA56A1">
        <w:rPr>
          <w:rFonts w:ascii="Palatino Linotype" w:hAnsi="Palatino Linotype"/>
          <w:sz w:val="24"/>
          <w:szCs w:val="24"/>
          <w:highlight w:val="yellow"/>
        </w:rPr>
        <w:t>Sanık</w:t>
      </w:r>
      <w:r w:rsidR="00DA56A1" w:rsidRPr="00DA56A1">
        <w:rPr>
          <w:rFonts w:ascii="Palatino Linotype" w:hAnsi="Palatino Linotype"/>
          <w:sz w:val="24"/>
          <w:szCs w:val="24"/>
          <w:highlight w:val="yellow"/>
        </w:rPr>
        <w:t>/Davacı/Başvurucu</w:t>
      </w:r>
    </w:p>
    <w:p w14:paraId="5F8694FC" w14:textId="4DD9CA92" w:rsidR="000A1DDB" w:rsidRDefault="00DA56A1" w:rsidP="00DA56A1">
      <w:pPr>
        <w:spacing w:after="120"/>
        <w:ind w:left="4956"/>
        <w:jc w:val="both"/>
        <w:rPr>
          <w:rFonts w:ascii="Palatino Linotype" w:hAnsi="Palatino Linotype"/>
          <w:sz w:val="24"/>
          <w:szCs w:val="24"/>
        </w:rPr>
      </w:pPr>
      <w:r w:rsidRPr="00DA56A1">
        <w:rPr>
          <w:rFonts w:ascii="Palatino Linotype" w:hAnsi="Palatino Linotype"/>
          <w:sz w:val="24"/>
          <w:szCs w:val="24"/>
          <w:highlight w:val="yellow"/>
        </w:rPr>
        <w:t xml:space="preserve">      </w:t>
      </w:r>
      <w:r w:rsidR="000A1DDB" w:rsidRPr="00DA56A1">
        <w:rPr>
          <w:rFonts w:ascii="Palatino Linotype" w:hAnsi="Palatino Linotype"/>
          <w:sz w:val="24"/>
          <w:szCs w:val="24"/>
          <w:highlight w:val="yellow"/>
        </w:rPr>
        <w:t>Sanık</w:t>
      </w:r>
      <w:r w:rsidRPr="00DA56A1">
        <w:rPr>
          <w:rFonts w:ascii="Palatino Linotype" w:hAnsi="Palatino Linotype"/>
          <w:sz w:val="24"/>
          <w:szCs w:val="24"/>
          <w:highlight w:val="yellow"/>
        </w:rPr>
        <w:t xml:space="preserve">/Davacı/ </w:t>
      </w:r>
      <w:r w:rsidRPr="00DA56A1">
        <w:rPr>
          <w:rFonts w:ascii="Palatino Linotype" w:hAnsi="Palatino Linotype"/>
          <w:sz w:val="24"/>
          <w:szCs w:val="24"/>
          <w:highlight w:val="yellow"/>
        </w:rPr>
        <w:t>Başvurucu</w:t>
      </w:r>
      <w:r w:rsidR="000A1DDB" w:rsidRPr="00DA56A1">
        <w:rPr>
          <w:rFonts w:ascii="Palatino Linotype" w:hAnsi="Palatino Linotype"/>
          <w:sz w:val="24"/>
          <w:szCs w:val="24"/>
          <w:highlight w:val="yellow"/>
        </w:rPr>
        <w:t xml:space="preserve"> </w:t>
      </w:r>
      <w:r w:rsidRPr="00DA56A1">
        <w:rPr>
          <w:rFonts w:ascii="Palatino Linotype" w:hAnsi="Palatino Linotype"/>
          <w:sz w:val="24"/>
          <w:szCs w:val="24"/>
          <w:highlight w:val="yellow"/>
        </w:rPr>
        <w:t>vekili</w:t>
      </w:r>
      <w:r w:rsidR="000A1DDB" w:rsidRPr="00DA56A1">
        <w:rPr>
          <w:rFonts w:ascii="Palatino Linotype" w:hAnsi="Palatino Linotype"/>
          <w:sz w:val="24"/>
          <w:szCs w:val="24"/>
          <w:highlight w:val="yellow"/>
        </w:rPr>
        <w:t xml:space="preserve"> Av.</w:t>
      </w:r>
    </w:p>
    <w:p w14:paraId="2833D1B9" w14:textId="67015CAE" w:rsidR="00D06EC2" w:rsidRDefault="00D06EC2" w:rsidP="00D06EC2">
      <w:pPr>
        <w:spacing w:after="120"/>
        <w:jc w:val="both"/>
        <w:rPr>
          <w:rFonts w:ascii="Palatino Linotype" w:hAnsi="Palatino Linotype"/>
          <w:sz w:val="24"/>
          <w:szCs w:val="24"/>
        </w:rPr>
      </w:pPr>
    </w:p>
    <w:p w14:paraId="3A4D6693" w14:textId="4664F203" w:rsidR="00D06EC2" w:rsidRDefault="00D06EC2" w:rsidP="00D06EC2">
      <w:pPr>
        <w:spacing w:after="120"/>
        <w:jc w:val="both"/>
        <w:rPr>
          <w:rFonts w:ascii="Palatino Linotype" w:hAnsi="Palatino Linotype"/>
          <w:sz w:val="24"/>
          <w:szCs w:val="24"/>
        </w:rPr>
      </w:pPr>
    </w:p>
    <w:p w14:paraId="29A54A69" w14:textId="45247882" w:rsidR="00D06EC2" w:rsidRDefault="00D06EC2" w:rsidP="00D06EC2">
      <w:pPr>
        <w:spacing w:after="120"/>
        <w:jc w:val="both"/>
        <w:rPr>
          <w:rFonts w:ascii="Palatino Linotype" w:hAnsi="Palatino Linotype"/>
          <w:sz w:val="24"/>
          <w:szCs w:val="24"/>
        </w:rPr>
      </w:pPr>
    </w:p>
    <w:p w14:paraId="533702FE" w14:textId="7C66D929" w:rsidR="00D06EC2" w:rsidRDefault="00D06EC2" w:rsidP="00D06EC2">
      <w:pPr>
        <w:spacing w:after="120"/>
        <w:jc w:val="both"/>
        <w:rPr>
          <w:rFonts w:ascii="Palatino Linotype" w:hAnsi="Palatino Linotype"/>
          <w:b/>
          <w:bCs/>
          <w:sz w:val="24"/>
          <w:szCs w:val="24"/>
          <w:u w:val="single"/>
        </w:rPr>
      </w:pPr>
      <w:r w:rsidRPr="00D06EC2">
        <w:rPr>
          <w:rFonts w:ascii="Palatino Linotype" w:hAnsi="Palatino Linotype"/>
          <w:b/>
          <w:bCs/>
          <w:sz w:val="24"/>
          <w:szCs w:val="24"/>
          <w:u w:val="single"/>
        </w:rPr>
        <w:t>EKLER:</w:t>
      </w:r>
    </w:p>
    <w:p w14:paraId="10A5F262" w14:textId="44BD8C7C" w:rsidR="00D06EC2" w:rsidRDefault="00D06EC2" w:rsidP="00D06EC2">
      <w:pPr>
        <w:spacing w:after="120"/>
        <w:jc w:val="both"/>
        <w:rPr>
          <w:rFonts w:ascii="Palatino Linotype" w:hAnsi="Palatino Linotype"/>
          <w:sz w:val="24"/>
          <w:szCs w:val="24"/>
        </w:rPr>
      </w:pPr>
      <w:r w:rsidRPr="00D06EC2">
        <w:rPr>
          <w:rFonts w:ascii="Palatino Linotype" w:hAnsi="Palatino Linotype"/>
          <w:b/>
          <w:bCs/>
          <w:sz w:val="24"/>
          <w:szCs w:val="24"/>
        </w:rPr>
        <w:t xml:space="preserve">1. </w:t>
      </w:r>
      <w:r>
        <w:rPr>
          <w:rFonts w:ascii="Palatino Linotype" w:hAnsi="Palatino Linotype"/>
          <w:sz w:val="24"/>
          <w:szCs w:val="24"/>
        </w:rPr>
        <w:t>BM İnsan Hakları Komitesinin Mukadder Alakuş kararı</w:t>
      </w:r>
      <w:r w:rsidR="00FB63FA">
        <w:rPr>
          <w:rFonts w:ascii="Palatino Linotype" w:hAnsi="Palatino Linotype"/>
          <w:sz w:val="24"/>
          <w:szCs w:val="24"/>
        </w:rPr>
        <w:t>nın İngilizce metni</w:t>
      </w:r>
    </w:p>
    <w:p w14:paraId="36C35C0C" w14:textId="457AD660" w:rsidR="00FB63FA" w:rsidRPr="00D06EC2" w:rsidRDefault="00FB63FA" w:rsidP="00D06EC2">
      <w:pPr>
        <w:spacing w:after="120"/>
        <w:jc w:val="both"/>
        <w:rPr>
          <w:rFonts w:ascii="Palatino Linotype" w:hAnsi="Palatino Linotype"/>
          <w:sz w:val="24"/>
          <w:szCs w:val="24"/>
        </w:rPr>
      </w:pPr>
      <w:r>
        <w:rPr>
          <w:rFonts w:ascii="Palatino Linotype" w:hAnsi="Palatino Linotype"/>
          <w:sz w:val="24"/>
          <w:szCs w:val="24"/>
        </w:rPr>
        <w:t xml:space="preserve">2. </w:t>
      </w:r>
      <w:r>
        <w:rPr>
          <w:rFonts w:ascii="Palatino Linotype" w:hAnsi="Palatino Linotype"/>
          <w:sz w:val="24"/>
          <w:szCs w:val="24"/>
        </w:rPr>
        <w:t xml:space="preserve">BM İnsan Hakları Komitesinin Mukadder Alakuş kararının </w:t>
      </w:r>
      <w:r>
        <w:rPr>
          <w:rFonts w:ascii="Palatino Linotype" w:hAnsi="Palatino Linotype"/>
          <w:sz w:val="24"/>
          <w:szCs w:val="24"/>
        </w:rPr>
        <w:t>Türkçe</w:t>
      </w:r>
      <w:r>
        <w:rPr>
          <w:rFonts w:ascii="Palatino Linotype" w:hAnsi="Palatino Linotype"/>
          <w:sz w:val="24"/>
          <w:szCs w:val="24"/>
        </w:rPr>
        <w:t xml:space="preserve"> metni</w:t>
      </w:r>
    </w:p>
    <w:p w14:paraId="2FD22554" w14:textId="77777777" w:rsidR="00D06EC2" w:rsidRPr="00DA56A1" w:rsidRDefault="00D06EC2" w:rsidP="00D06EC2">
      <w:pPr>
        <w:spacing w:after="120"/>
        <w:ind w:left="-142" w:firstLine="142"/>
        <w:rPr>
          <w:rFonts w:ascii="Palatino Linotype" w:hAnsi="Palatino Linotype"/>
          <w:sz w:val="24"/>
          <w:szCs w:val="24"/>
        </w:rPr>
      </w:pPr>
    </w:p>
    <w:p w14:paraId="490E6CC6" w14:textId="77777777" w:rsidR="00842CAE" w:rsidRPr="00DA56A1" w:rsidRDefault="00842CAE" w:rsidP="00DA56A1">
      <w:pPr>
        <w:spacing w:after="120"/>
        <w:jc w:val="both"/>
        <w:rPr>
          <w:rFonts w:ascii="Palatino Linotype" w:hAnsi="Palatino Linotype"/>
          <w:sz w:val="24"/>
          <w:szCs w:val="24"/>
        </w:rPr>
      </w:pPr>
    </w:p>
    <w:p w14:paraId="496FD0FB" w14:textId="77777777" w:rsidR="000A1DDB" w:rsidRPr="00DA56A1" w:rsidRDefault="000A1DDB" w:rsidP="00DA56A1">
      <w:pPr>
        <w:spacing w:after="120"/>
        <w:jc w:val="both"/>
        <w:rPr>
          <w:rFonts w:ascii="Palatino Linotype" w:hAnsi="Palatino Linotype"/>
          <w:sz w:val="24"/>
          <w:szCs w:val="24"/>
        </w:rPr>
      </w:pPr>
    </w:p>
    <w:sectPr w:rsidR="000A1DDB" w:rsidRPr="00DA56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6F18" w14:textId="77777777" w:rsidR="00132F71" w:rsidRDefault="00132F71" w:rsidP="006B61B3">
      <w:pPr>
        <w:spacing w:after="0" w:line="240" w:lineRule="auto"/>
      </w:pPr>
      <w:r>
        <w:separator/>
      </w:r>
    </w:p>
  </w:endnote>
  <w:endnote w:type="continuationSeparator" w:id="0">
    <w:p w14:paraId="04E098F6" w14:textId="77777777" w:rsidR="00132F71" w:rsidRDefault="00132F71" w:rsidP="006B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C157" w14:textId="77777777" w:rsidR="00132F71" w:rsidRDefault="00132F71" w:rsidP="006B61B3">
      <w:pPr>
        <w:spacing w:after="0" w:line="240" w:lineRule="auto"/>
      </w:pPr>
      <w:r>
        <w:separator/>
      </w:r>
    </w:p>
  </w:footnote>
  <w:footnote w:type="continuationSeparator" w:id="0">
    <w:p w14:paraId="1E0B67AA" w14:textId="77777777" w:rsidR="00132F71" w:rsidRDefault="00132F71" w:rsidP="006B61B3">
      <w:pPr>
        <w:spacing w:after="0" w:line="240" w:lineRule="auto"/>
      </w:pPr>
      <w:r>
        <w:continuationSeparator/>
      </w:r>
    </w:p>
  </w:footnote>
  <w:footnote w:id="1">
    <w:p w14:paraId="4CB98A6C" w14:textId="77777777" w:rsidR="00A23DEA" w:rsidRPr="00A23DEA" w:rsidRDefault="00A23DEA" w:rsidP="00A23DEA">
      <w:pPr>
        <w:pStyle w:val="NormalWeb"/>
        <w:shd w:val="clear" w:color="auto" w:fill="FFFFFF"/>
        <w:spacing w:before="0" w:beforeAutospacing="0" w:after="0" w:afterAutospacing="0"/>
        <w:jc w:val="both"/>
        <w:rPr>
          <w:rFonts w:ascii="Verdana" w:hAnsi="Verdana"/>
          <w:color w:val="222222"/>
          <w:sz w:val="20"/>
          <w:szCs w:val="20"/>
        </w:rPr>
      </w:pPr>
      <w:r>
        <w:rPr>
          <w:rStyle w:val="DipnotBavurusu"/>
        </w:rPr>
        <w:footnoteRef/>
      </w:r>
      <w:r>
        <w:t xml:space="preserve"> </w:t>
      </w:r>
      <w:r w:rsidRPr="00A23DEA">
        <w:rPr>
          <w:rFonts w:ascii="Verdana" w:hAnsi="Verdana"/>
          <w:color w:val="222222"/>
          <w:sz w:val="20"/>
          <w:szCs w:val="20"/>
        </w:rPr>
        <w:t>Protokolün Giriş ve 1. maddesindeki düzenlemeler şöyledir:</w:t>
      </w:r>
    </w:p>
    <w:p w14:paraId="0500272E" w14:textId="77777777" w:rsidR="00A23DEA" w:rsidRPr="00A23DEA" w:rsidRDefault="00A23DEA" w:rsidP="00A23DEA">
      <w:pPr>
        <w:pStyle w:val="NormalWeb"/>
        <w:shd w:val="clear" w:color="auto" w:fill="FFFFFF"/>
        <w:spacing w:before="0" w:beforeAutospacing="0" w:after="0" w:afterAutospacing="0"/>
        <w:jc w:val="both"/>
        <w:rPr>
          <w:rFonts w:ascii="Verdana" w:hAnsi="Verdana"/>
          <w:color w:val="222222"/>
          <w:sz w:val="20"/>
          <w:szCs w:val="20"/>
        </w:rPr>
      </w:pPr>
      <w:r w:rsidRPr="00A23DEA">
        <w:rPr>
          <w:rStyle w:val="Vurgu"/>
          <w:rFonts w:ascii="Verdana" w:hAnsi="Verdana"/>
          <w:b/>
          <w:bCs/>
          <w:color w:val="222222"/>
          <w:sz w:val="20"/>
          <w:szCs w:val="20"/>
          <w:u w:val="single"/>
        </w:rPr>
        <w:t>Giriş:</w:t>
      </w:r>
      <w:r w:rsidRPr="00A23DEA">
        <w:rPr>
          <w:rStyle w:val="Vurgu"/>
          <w:rFonts w:ascii="Verdana" w:hAnsi="Verdana"/>
          <w:color w:val="222222"/>
          <w:sz w:val="20"/>
          <w:szCs w:val="20"/>
        </w:rPr>
        <w:t> “Bu Protokole Taraf Devletler, Medeni ve Siyasi Haklara İlişkin Uluslararası Sözleşme’nin (bundan böyle Sözleşme diye anılacaktır) amaçlarını gerçekleştirmek ve bu Sözleşme hükümlerinin uygulanmasını sağlamak amacıyla, Sözleşmenin IV. bölümüne göre kurulan İnsan Hakları Komitesine (bundan böyle Komite diye anılacaktır), bu Protokolde düzenlendiği gibi, Sözleşmede yer alan hakların ihlalinden mağdur olduğunu iddia eden bireylerden gelen şikayetleri alma ve tezekkür etme yetkisi tanımanın uygun olduğu dikkate alarak; Aşağıdaki hükümlerde anlaşmışlardır:</w:t>
      </w:r>
    </w:p>
    <w:p w14:paraId="71EBD04C" w14:textId="77777777" w:rsidR="00A23DEA" w:rsidRPr="00A23DEA" w:rsidRDefault="00A23DEA" w:rsidP="00A23DEA">
      <w:pPr>
        <w:pStyle w:val="NormalWeb"/>
        <w:shd w:val="clear" w:color="auto" w:fill="FFFFFF"/>
        <w:spacing w:before="0" w:beforeAutospacing="0" w:after="0" w:afterAutospacing="0"/>
        <w:jc w:val="both"/>
        <w:rPr>
          <w:rFonts w:ascii="Verdana" w:hAnsi="Verdana"/>
          <w:color w:val="222222"/>
          <w:sz w:val="20"/>
          <w:szCs w:val="20"/>
        </w:rPr>
      </w:pPr>
      <w:r w:rsidRPr="00A23DEA">
        <w:rPr>
          <w:rStyle w:val="Vurgu"/>
          <w:rFonts w:ascii="Verdana" w:hAnsi="Verdana"/>
          <w:b/>
          <w:bCs/>
          <w:color w:val="222222"/>
          <w:sz w:val="20"/>
          <w:szCs w:val="20"/>
          <w:u w:val="single"/>
        </w:rPr>
        <w:t>Madde 1:</w:t>
      </w:r>
      <w:r w:rsidRPr="00A23DEA">
        <w:rPr>
          <w:rStyle w:val="Vurgu"/>
          <w:rFonts w:ascii="Verdana" w:hAnsi="Verdana"/>
          <w:color w:val="222222"/>
          <w:sz w:val="20"/>
          <w:szCs w:val="20"/>
          <w:u w:val="single"/>
        </w:rPr>
        <w:t> </w:t>
      </w:r>
      <w:r w:rsidRPr="00A23DEA">
        <w:rPr>
          <w:rStyle w:val="Vurgu"/>
          <w:rFonts w:ascii="Verdana" w:hAnsi="Verdana"/>
          <w:color w:val="222222"/>
          <w:sz w:val="20"/>
          <w:szCs w:val="20"/>
        </w:rPr>
        <w:t>Bu Protokole Taraf haline gelen Sözleşmeye Taraf bir Devlet, kendi egemenlik yetkisine tabi bulunan ve Sözleşmede düzenlenen haklarının bu Taraf Devlet tarafından ihlal edildiğini iddia eden bireylerin yapacağı şikayetleri Komitenin alma ve tezekkür etme yetkisini tanır.”</w:t>
      </w:r>
    </w:p>
    <w:p w14:paraId="7EA2E379" w14:textId="77777777" w:rsidR="00A23DEA" w:rsidRPr="00A23DEA" w:rsidRDefault="00A23DEA" w:rsidP="00A23DEA">
      <w:pPr>
        <w:pStyle w:val="NormalWeb"/>
        <w:shd w:val="clear" w:color="auto" w:fill="FFFFFF"/>
        <w:spacing w:before="0" w:beforeAutospacing="0" w:after="0" w:afterAutospacing="0"/>
        <w:jc w:val="both"/>
        <w:rPr>
          <w:rFonts w:ascii="Verdana" w:hAnsi="Verdana"/>
          <w:color w:val="222222"/>
          <w:sz w:val="20"/>
          <w:szCs w:val="20"/>
        </w:rPr>
      </w:pPr>
      <w:r w:rsidRPr="00A23DEA">
        <w:rPr>
          <w:rFonts w:ascii="Verdana" w:hAnsi="Verdana"/>
          <w:color w:val="222222"/>
          <w:sz w:val="20"/>
          <w:szCs w:val="20"/>
        </w:rPr>
        <w:t>Bu düzenlemelerde, taraf devletin Komite’nin başvuruları alma ve inceleme yetkisini tanıdığı açıkça vurgulanırken, Sözleşme’nin 2. maddesinde de, Sözleşme’de düzenlenen hakların korunması konusunda taraf devlet negatif ve pozitif yükümlülüklerle bağlı hale getirilmiştir.</w:t>
      </w:r>
    </w:p>
    <w:p w14:paraId="49FDA081" w14:textId="77777777" w:rsidR="00A23DEA" w:rsidRPr="00A23DEA" w:rsidRDefault="00A23DEA" w:rsidP="00A23DEA">
      <w:pPr>
        <w:pStyle w:val="NormalWeb"/>
        <w:shd w:val="clear" w:color="auto" w:fill="FFFFFF"/>
        <w:spacing w:before="0" w:beforeAutospacing="0" w:after="0" w:afterAutospacing="0"/>
        <w:jc w:val="both"/>
        <w:rPr>
          <w:rFonts w:ascii="Verdana" w:hAnsi="Verdana"/>
          <w:color w:val="222222"/>
          <w:sz w:val="20"/>
          <w:szCs w:val="20"/>
        </w:rPr>
      </w:pPr>
      <w:r w:rsidRPr="00A23DEA">
        <w:rPr>
          <w:rFonts w:ascii="Verdana" w:hAnsi="Verdana"/>
          <w:color w:val="222222"/>
          <w:sz w:val="20"/>
          <w:szCs w:val="20"/>
        </w:rPr>
        <w:t>Diğer taraftan, MSHS’ye Ek İhtiyari Protokolün onaylanması sırasında yapılacak beyanlar ve konulacak çekinceler konusunda Türkiye’nin bildirisi şu şekilde olmuştur:</w:t>
      </w:r>
    </w:p>
    <w:p w14:paraId="22033EF8" w14:textId="77777777" w:rsidR="00A23DEA" w:rsidRPr="00A23DEA" w:rsidRDefault="00A23DEA" w:rsidP="00A23DEA">
      <w:pPr>
        <w:pStyle w:val="NormalWeb"/>
        <w:shd w:val="clear" w:color="auto" w:fill="FFFFFF"/>
        <w:spacing w:before="0" w:beforeAutospacing="0" w:after="0" w:afterAutospacing="0"/>
        <w:jc w:val="both"/>
        <w:rPr>
          <w:rFonts w:ascii="Verdana" w:hAnsi="Verdana"/>
          <w:color w:val="222222"/>
          <w:sz w:val="20"/>
          <w:szCs w:val="20"/>
        </w:rPr>
      </w:pPr>
      <w:r w:rsidRPr="00A23DEA">
        <w:rPr>
          <w:rStyle w:val="Vurgu"/>
          <w:rFonts w:ascii="Verdana" w:hAnsi="Verdana"/>
          <w:color w:val="222222"/>
          <w:sz w:val="20"/>
          <w:szCs w:val="20"/>
        </w:rPr>
        <w:t>“Türkiye Cumhuriyeti, Medeni ve Siyasi Haklara İlişkin Uluslararası Sözleşmeye ilişkin üç beyanının ve Sözleşmeye koyduğu çekincenin bu İhtiyari Protokol için de geçerli olduğunu beyan eder.”</w:t>
      </w:r>
    </w:p>
    <w:p w14:paraId="71937C38" w14:textId="77777777" w:rsidR="00A23DEA" w:rsidRPr="00A23DEA" w:rsidRDefault="00A23DEA" w:rsidP="00A23DEA">
      <w:pPr>
        <w:pStyle w:val="NormalWeb"/>
        <w:shd w:val="clear" w:color="auto" w:fill="FFFFFF"/>
        <w:spacing w:before="0" w:beforeAutospacing="0" w:after="0" w:afterAutospacing="0"/>
        <w:jc w:val="both"/>
        <w:rPr>
          <w:rFonts w:ascii="Verdana" w:hAnsi="Verdana"/>
          <w:b/>
          <w:bCs/>
          <w:color w:val="222222"/>
          <w:sz w:val="20"/>
          <w:szCs w:val="20"/>
        </w:rPr>
      </w:pPr>
      <w:r w:rsidRPr="00A23DEA">
        <w:rPr>
          <w:rStyle w:val="Vurgu"/>
          <w:rFonts w:ascii="Verdana" w:hAnsi="Verdana"/>
          <w:b/>
          <w:bCs/>
          <w:color w:val="222222"/>
          <w:sz w:val="20"/>
          <w:szCs w:val="20"/>
        </w:rPr>
        <w:t>BEYAN</w:t>
      </w:r>
    </w:p>
    <w:p w14:paraId="42115F2A" w14:textId="77777777" w:rsidR="00A23DEA" w:rsidRPr="00A23DEA" w:rsidRDefault="00A23DEA" w:rsidP="00A23DEA">
      <w:pPr>
        <w:pStyle w:val="NormalWeb"/>
        <w:shd w:val="clear" w:color="auto" w:fill="FFFFFF"/>
        <w:spacing w:before="0" w:beforeAutospacing="0" w:after="0" w:afterAutospacing="0"/>
        <w:jc w:val="both"/>
        <w:rPr>
          <w:rFonts w:ascii="Verdana" w:hAnsi="Verdana"/>
          <w:color w:val="222222"/>
          <w:sz w:val="20"/>
          <w:szCs w:val="20"/>
        </w:rPr>
      </w:pPr>
      <w:r w:rsidRPr="00A23DEA">
        <w:rPr>
          <w:rStyle w:val="Vurgu"/>
          <w:rFonts w:ascii="Verdana" w:hAnsi="Verdana"/>
          <w:color w:val="222222"/>
          <w:sz w:val="20"/>
          <w:szCs w:val="20"/>
        </w:rPr>
        <w:t>“Türkiye Cumhuriyeti, Protokol’ün birinci maddesini, Komite’ye, Sözleşme’de yer alan haklardan herhangi birinin Türkiye Cumhuriyeti tarafından ihlal edilmesinden dolayı mağdur olduğunu iddia eden, Türkiye Cumhuriyeti’nin yargı yetkisine bağlı bireylerin şikayetlerini alma ve inceleme yetkisi verdiği şeklinde yorumlar.”</w:t>
      </w:r>
    </w:p>
    <w:p w14:paraId="3C875E70" w14:textId="2F7C9A9C" w:rsidR="00A23DEA" w:rsidRDefault="00A23DEA">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80A64"/>
    <w:multiLevelType w:val="hybridMultilevel"/>
    <w:tmpl w:val="69D8E7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413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1DE"/>
    <w:rsid w:val="000A1DDB"/>
    <w:rsid w:val="000C38F0"/>
    <w:rsid w:val="00132F71"/>
    <w:rsid w:val="00156B83"/>
    <w:rsid w:val="001A42C8"/>
    <w:rsid w:val="00313675"/>
    <w:rsid w:val="003566D0"/>
    <w:rsid w:val="003F77A4"/>
    <w:rsid w:val="00402076"/>
    <w:rsid w:val="005C57D1"/>
    <w:rsid w:val="005D41DE"/>
    <w:rsid w:val="00623486"/>
    <w:rsid w:val="006B61B3"/>
    <w:rsid w:val="00742B2A"/>
    <w:rsid w:val="00763604"/>
    <w:rsid w:val="007B467C"/>
    <w:rsid w:val="00801EA6"/>
    <w:rsid w:val="00842CAE"/>
    <w:rsid w:val="00876A50"/>
    <w:rsid w:val="008E1FF9"/>
    <w:rsid w:val="00A23DEA"/>
    <w:rsid w:val="00A451A2"/>
    <w:rsid w:val="00BC2438"/>
    <w:rsid w:val="00CC2D9B"/>
    <w:rsid w:val="00D06EC2"/>
    <w:rsid w:val="00DA56A1"/>
    <w:rsid w:val="00F47448"/>
    <w:rsid w:val="00F86E1E"/>
    <w:rsid w:val="00FB63FA"/>
    <w:rsid w:val="00FF60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3F19"/>
  <w15:chartTrackingRefBased/>
  <w15:docId w15:val="{1A62B729-5598-4C76-AD5B-C18A6C25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61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61B3"/>
  </w:style>
  <w:style w:type="paragraph" w:styleId="AltBilgi">
    <w:name w:val="footer"/>
    <w:basedOn w:val="Normal"/>
    <w:link w:val="AltBilgiChar"/>
    <w:uiPriority w:val="99"/>
    <w:unhideWhenUsed/>
    <w:rsid w:val="006B61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61B3"/>
  </w:style>
  <w:style w:type="paragraph" w:styleId="NormalWeb">
    <w:name w:val="Normal (Web)"/>
    <w:basedOn w:val="Normal"/>
    <w:uiPriority w:val="99"/>
    <w:unhideWhenUsed/>
    <w:rsid w:val="00A23D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23DEA"/>
    <w:rPr>
      <w:i/>
      <w:iCs/>
    </w:rPr>
  </w:style>
  <w:style w:type="character" w:styleId="Gl">
    <w:name w:val="Strong"/>
    <w:basedOn w:val="VarsaylanParagrafYazTipi"/>
    <w:uiPriority w:val="22"/>
    <w:qFormat/>
    <w:rsid w:val="00A23DEA"/>
    <w:rPr>
      <w:b/>
      <w:bCs/>
    </w:rPr>
  </w:style>
  <w:style w:type="paragraph" w:styleId="DipnotMetni">
    <w:name w:val="footnote text"/>
    <w:basedOn w:val="Normal"/>
    <w:link w:val="DipnotMetniChar"/>
    <w:uiPriority w:val="99"/>
    <w:semiHidden/>
    <w:unhideWhenUsed/>
    <w:rsid w:val="00A23DE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23DEA"/>
    <w:rPr>
      <w:sz w:val="20"/>
      <w:szCs w:val="20"/>
    </w:rPr>
  </w:style>
  <w:style w:type="character" w:styleId="DipnotBavurusu">
    <w:name w:val="footnote reference"/>
    <w:basedOn w:val="VarsaylanParagrafYazTipi"/>
    <w:uiPriority w:val="99"/>
    <w:semiHidden/>
    <w:unhideWhenUsed/>
    <w:rsid w:val="00A23DEA"/>
    <w:rPr>
      <w:vertAlign w:val="superscript"/>
    </w:rPr>
  </w:style>
  <w:style w:type="paragraph" w:styleId="ListeParagraf">
    <w:name w:val="List Paragraph"/>
    <w:basedOn w:val="Normal"/>
    <w:uiPriority w:val="34"/>
    <w:qFormat/>
    <w:rsid w:val="00D06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584053">
      <w:bodyDiv w:val="1"/>
      <w:marLeft w:val="0"/>
      <w:marRight w:val="0"/>
      <w:marTop w:val="0"/>
      <w:marBottom w:val="0"/>
      <w:divBdr>
        <w:top w:val="none" w:sz="0" w:space="0" w:color="auto"/>
        <w:left w:val="none" w:sz="0" w:space="0" w:color="auto"/>
        <w:bottom w:val="none" w:sz="0" w:space="0" w:color="auto"/>
        <w:right w:val="none" w:sz="0" w:space="0" w:color="auto"/>
      </w:divBdr>
    </w:div>
    <w:div w:id="18381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8C8E-8AA6-48F4-B567-AFF777E8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1577</Words>
  <Characters>8990</Characters>
  <Application>Microsoft Office Word</Application>
  <DocSecurity>0</DocSecurity>
  <Lines>74</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Lenovo</cp:lastModifiedBy>
  <cp:revision>3</cp:revision>
  <dcterms:created xsi:type="dcterms:W3CDTF">2022-11-24T16:44:00Z</dcterms:created>
  <dcterms:modified xsi:type="dcterms:W3CDTF">2022-11-24T16:51:00Z</dcterms:modified>
</cp:coreProperties>
</file>