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C137" w14:textId="77777777" w:rsidR="00E03451" w:rsidRPr="007B0C1D" w:rsidRDefault="00CB1D6C" w:rsidP="00074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jc w:val="center"/>
        <w:outlineLvl w:val="0"/>
        <w:rPr>
          <w:rFonts w:ascii="Times New Roman" w:hAnsi="Times New Roman" w:cs="Times New Roman"/>
          <w:b/>
          <w:bCs/>
          <w:sz w:val="24"/>
          <w:szCs w:val="24"/>
          <w:u w:val="single"/>
        </w:rPr>
      </w:pPr>
      <w:r w:rsidRPr="007B0C1D">
        <w:rPr>
          <w:rFonts w:ascii="Times New Roman" w:hAnsi="Times New Roman" w:cs="Times New Roman"/>
          <w:b/>
          <w:bCs/>
          <w:sz w:val="24"/>
          <w:szCs w:val="24"/>
          <w:u w:val="single"/>
        </w:rPr>
        <w:t>BAŞVURUYA</w:t>
      </w:r>
      <w:r w:rsidR="002675F6" w:rsidRPr="007B0C1D">
        <w:rPr>
          <w:rFonts w:ascii="Times New Roman" w:hAnsi="Times New Roman" w:cs="Times New Roman"/>
          <w:b/>
          <w:bCs/>
          <w:sz w:val="24"/>
          <w:szCs w:val="24"/>
          <w:u w:val="single"/>
        </w:rPr>
        <w:t xml:space="preserve"> </w:t>
      </w:r>
      <w:r w:rsidR="00952054" w:rsidRPr="007B0C1D">
        <w:rPr>
          <w:rFonts w:ascii="Times New Roman" w:hAnsi="Times New Roman" w:cs="Times New Roman"/>
          <w:b/>
          <w:bCs/>
          <w:sz w:val="24"/>
          <w:szCs w:val="24"/>
          <w:u w:val="single"/>
        </w:rPr>
        <w:t xml:space="preserve">İLİŞKİN </w:t>
      </w:r>
      <w:r w:rsidR="002675F6" w:rsidRPr="007B0C1D">
        <w:rPr>
          <w:rFonts w:ascii="Times New Roman" w:hAnsi="Times New Roman" w:cs="Times New Roman"/>
          <w:b/>
          <w:bCs/>
          <w:sz w:val="24"/>
          <w:szCs w:val="24"/>
          <w:u w:val="single"/>
        </w:rPr>
        <w:t>AÇIKLAMALAR</w:t>
      </w:r>
    </w:p>
    <w:p w14:paraId="5F3161ED" w14:textId="77777777" w:rsidR="002675F6" w:rsidRPr="007B0C1D" w:rsidRDefault="002675F6" w:rsidP="00074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40" w:lineRule="auto"/>
        <w:outlineLvl w:val="0"/>
        <w:rPr>
          <w:rFonts w:ascii="Times New Roman" w:hAnsi="Times New Roman" w:cs="Times New Roman"/>
          <w:b/>
          <w:bCs/>
          <w:i/>
          <w:sz w:val="24"/>
          <w:szCs w:val="24"/>
        </w:rPr>
      </w:pPr>
      <w:r w:rsidRPr="007B0C1D">
        <w:rPr>
          <w:rFonts w:ascii="Times New Roman" w:hAnsi="Times New Roman" w:cs="Times New Roman"/>
          <w:b/>
          <w:bCs/>
          <w:sz w:val="24"/>
          <w:szCs w:val="24"/>
        </w:rPr>
        <w:t>Başvurucu: ….</w:t>
      </w:r>
    </w:p>
    <w:p w14:paraId="1F4436A1" w14:textId="77777777" w:rsidR="004D6920" w:rsidRPr="007B0C1D" w:rsidRDefault="0036396A" w:rsidP="004D692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jc w:val="both"/>
        <w:outlineLvl w:val="0"/>
        <w:rPr>
          <w:rFonts w:ascii="Times New Roman" w:eastAsia="Times New Roman" w:hAnsi="Times New Roman" w:cs="Times New Roman"/>
          <w:b/>
          <w:bCs/>
          <w:sz w:val="24"/>
          <w:szCs w:val="24"/>
          <w:lang w:eastAsia="tr-TR"/>
        </w:rPr>
      </w:pPr>
      <w:r w:rsidRPr="007B0C1D">
        <w:rPr>
          <w:rFonts w:ascii="Times New Roman" w:eastAsia="Times New Roman" w:hAnsi="Times New Roman" w:cs="Times New Roman"/>
          <w:b/>
          <w:bCs/>
          <w:sz w:val="24"/>
          <w:szCs w:val="24"/>
          <w:lang w:eastAsia="tr-TR"/>
        </w:rPr>
        <w:t>1</w:t>
      </w:r>
      <w:r w:rsidR="0067087B" w:rsidRPr="007B0C1D">
        <w:rPr>
          <w:rFonts w:ascii="Times New Roman" w:eastAsia="Times New Roman" w:hAnsi="Times New Roman" w:cs="Times New Roman"/>
          <w:b/>
          <w:bCs/>
          <w:sz w:val="24"/>
          <w:szCs w:val="24"/>
          <w:lang w:eastAsia="tr-TR"/>
        </w:rPr>
        <w:t xml:space="preserve">) </w:t>
      </w:r>
      <w:r w:rsidR="004D6920" w:rsidRPr="007B0C1D">
        <w:rPr>
          <w:rFonts w:ascii="Times New Roman" w:eastAsia="Times New Roman" w:hAnsi="Times New Roman" w:cs="Times New Roman"/>
          <w:b/>
          <w:bCs/>
          <w:sz w:val="24"/>
          <w:szCs w:val="24"/>
          <w:lang w:eastAsia="tr-TR"/>
        </w:rPr>
        <w:t>Bylock Bilgilerinin Yargılamada Kullanılması</w:t>
      </w:r>
    </w:p>
    <w:p w14:paraId="16F073B1"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Arial" w:hAnsi="Times New Roman" w:cs="Times New Roman"/>
          <w:sz w:val="24"/>
          <w:szCs w:val="24"/>
        </w:rPr>
      </w:pPr>
      <w:r w:rsidRPr="007B0C1D">
        <w:rPr>
          <w:rFonts w:ascii="Times New Roman" w:eastAsia="Arial" w:hAnsi="Times New Roman" w:cs="Times New Roman"/>
          <w:sz w:val="24"/>
          <w:szCs w:val="24"/>
        </w:rPr>
        <w:t>Yargıtay 16. Ceza Dairesi</w:t>
      </w:r>
      <w:r w:rsidRPr="007B0C1D">
        <w:rPr>
          <w:rStyle w:val="DipnotBavurusu"/>
          <w:rFonts w:ascii="Times New Roman" w:eastAsia="Arial" w:hAnsi="Times New Roman"/>
          <w:sz w:val="24"/>
          <w:szCs w:val="24"/>
        </w:rPr>
        <w:footnoteReference w:id="1"/>
      </w:r>
      <w:r w:rsidRPr="007B0C1D">
        <w:rPr>
          <w:rFonts w:ascii="Times New Roman" w:eastAsia="Arial" w:hAnsi="Times New Roman" w:cs="Times New Roman"/>
          <w:sz w:val="24"/>
          <w:szCs w:val="24"/>
        </w:rPr>
        <w:t xml:space="preserve"> ve Yargıtay Ceza Genel Kurulu</w:t>
      </w:r>
      <w:r w:rsidRPr="007B0C1D">
        <w:rPr>
          <w:rStyle w:val="DipnotBavurusu"/>
          <w:rFonts w:ascii="Times New Roman" w:eastAsia="Arial" w:hAnsi="Times New Roman"/>
          <w:sz w:val="24"/>
          <w:szCs w:val="24"/>
        </w:rPr>
        <w:footnoteReference w:id="2"/>
      </w:r>
      <w:r w:rsidRPr="007B0C1D">
        <w:rPr>
          <w:rFonts w:ascii="Times New Roman" w:eastAsia="Arial" w:hAnsi="Times New Roman" w:cs="Times New Roman"/>
          <w:sz w:val="24"/>
          <w:szCs w:val="24"/>
        </w:rPr>
        <w:t xml:space="preserve"> Bylock’un CMK’nın 134. maddesine uygun olarak elde edildiğini kabul etmişler ve bu kabulden sonra yerel mahkemeler konuyla ilgili hiçbir araştırma yapmadan ve bu kararlara atıf yapmak suretiyle mahkûmiyet kararları vermişlerdir. Bununla birlikte bu kabuller, mevzuata ve Yargıtay’ın yerleşik içtihatlarıyla çelişmektedir.</w:t>
      </w:r>
    </w:p>
    <w:p w14:paraId="2192FF6E" w14:textId="77777777" w:rsidR="004D6920" w:rsidRPr="007B0C1D" w:rsidRDefault="004D6920" w:rsidP="004D692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7B0C1D">
        <w:rPr>
          <w:rFonts w:ascii="Times New Roman" w:hAnsi="Times New Roman" w:cs="Times New Roman"/>
          <w:b/>
          <w:i/>
          <w:sz w:val="24"/>
          <w:szCs w:val="24"/>
        </w:rPr>
        <w:t xml:space="preserve">a. Sunucu Elde Edildiği Sırada Bylock İle İlgili Bir Soruşturma Var Mıdır? </w:t>
      </w:r>
    </w:p>
    <w:p w14:paraId="1F5DE64C" w14:textId="77777777" w:rsidR="004D6920" w:rsidRPr="007B0C1D" w:rsidRDefault="004D6920" w:rsidP="004D6920">
      <w:pPr>
        <w:autoSpaceDE w:val="0"/>
        <w:autoSpaceDN w:val="0"/>
        <w:adjustRightInd w:val="0"/>
        <w:spacing w:after="0" w:line="240" w:lineRule="auto"/>
        <w:jc w:val="both"/>
        <w:textAlignment w:val="center"/>
        <w:rPr>
          <w:rFonts w:ascii="Times New Roman" w:hAnsi="Times New Roman" w:cs="Times New Roman"/>
          <w:sz w:val="24"/>
          <w:szCs w:val="24"/>
        </w:rPr>
      </w:pPr>
      <w:r w:rsidRPr="007B0C1D">
        <w:rPr>
          <w:rFonts w:ascii="Times New Roman" w:hAnsi="Times New Roman" w:cs="Times New Roman"/>
          <w:sz w:val="24"/>
          <w:szCs w:val="24"/>
        </w:rPr>
        <w:t>Bilgisayar, bilgisayar programları ve kütükleri üzerinde CMK’nın 134. maddesinde yer verilen tedbirlere başvurulabilmesi için öncelikle usulüne uygun başlatılmış bir adli soruşturma bulunmalıdır.</w:t>
      </w:r>
    </w:p>
    <w:p w14:paraId="7058A216" w14:textId="77777777" w:rsidR="004D6920" w:rsidRPr="007B0C1D" w:rsidRDefault="004D6920" w:rsidP="004D6920">
      <w:pPr>
        <w:autoSpaceDE w:val="0"/>
        <w:autoSpaceDN w:val="0"/>
        <w:adjustRightInd w:val="0"/>
        <w:spacing w:after="0" w:line="240" w:lineRule="auto"/>
        <w:jc w:val="both"/>
        <w:textAlignment w:val="center"/>
        <w:rPr>
          <w:rFonts w:ascii="Times New Roman" w:hAnsi="Times New Roman" w:cs="Times New Roman"/>
          <w:sz w:val="24"/>
          <w:szCs w:val="24"/>
        </w:rPr>
      </w:pPr>
      <w:r w:rsidRPr="007B0C1D">
        <w:rPr>
          <w:rFonts w:ascii="Times New Roman" w:hAnsi="Times New Roman" w:cs="Times New Roman"/>
          <w:sz w:val="24"/>
          <w:szCs w:val="24"/>
        </w:rPr>
        <w:t>16. Ceza Dairesinin Bylock’la ilgili verdiği karara göre; içinde Bylock bilgilerinin bulunduğu dijital malzemelerin MİT tarafından teslimi üzerine Ankara Cumhuriyet Başsavcılığınca soruşturma başlatılmış (Soruşturma No. 2016/104109) ve 09/12/2016 tarihinde dijital malzemelerden kopya çıkarılması ve imaj alma işlemi için Ankara 4. Sulh Ceza Hakimliğinden talepte bulunulmuştur. Ancak, Bylock’un sonradan dâhil edildiği anılan soruşturmanın başlangıç tarihi 18/07/2016’dır. Bunun anlamı, Bylock’un MİT tarafından ele geçirilmesinden altı ay sonra başlatılmış bir soruşturmaya, bu soruşturmanın başlamasından beş ay sonra dâhil edildiği, yani soruşturma olmadan ele geçirilen Bylock bilgilerinin ele geçirilmelerinden aylar sonra başlatılan bir soruşturmaya dâhil edildiğidir. Bu suretle, CMK’da öngörülen soruşturma usulü tersine çevrilmiştir.</w:t>
      </w:r>
    </w:p>
    <w:p w14:paraId="134F13D7" w14:textId="77777777" w:rsidR="004D6920" w:rsidRPr="007B0C1D" w:rsidRDefault="004D6920" w:rsidP="004D692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7B0C1D">
        <w:rPr>
          <w:rFonts w:ascii="Times New Roman" w:hAnsi="Times New Roman" w:cs="Times New Roman"/>
          <w:b/>
          <w:i/>
          <w:sz w:val="24"/>
          <w:szCs w:val="24"/>
        </w:rPr>
        <w:t>b. Sunucuda Arama Yapılabilmesi İçin Verilmiş Bir Hâkim Kararı Var Mıdır?</w:t>
      </w:r>
    </w:p>
    <w:p w14:paraId="5BB8DDAB"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Arial" w:hAnsi="Times New Roman" w:cs="Times New Roman"/>
          <w:sz w:val="24"/>
          <w:szCs w:val="24"/>
        </w:rPr>
      </w:pPr>
      <w:r w:rsidRPr="007B0C1D">
        <w:rPr>
          <w:rFonts w:ascii="Times New Roman" w:hAnsi="Times New Roman" w:cs="Times New Roman"/>
          <w:sz w:val="24"/>
          <w:szCs w:val="24"/>
        </w:rPr>
        <w:t>MİT’in hazırladığı Teknik Raporda bu konuda verilmiş bir karardan bahsedilmediği gibi, çalışmanın 2937 sayılı Kanun’un MİT’e verdiği yetkiye istinaden yapıldığı belirtilmiştir. Yine, konuyla ilgili Yargıtay kararlarında da, Bylock verilerinin MİT’in yaptığı istihbari çalışma sonucu elde edildiği belirtilerek bu konuda verilmiş bir karara atıf yapılmamıştır.</w:t>
      </w:r>
      <w:r w:rsidRPr="007B0C1D">
        <w:rPr>
          <w:rStyle w:val="DipnotBavurusu"/>
          <w:rFonts w:ascii="Times New Roman" w:hAnsi="Times New Roman"/>
          <w:sz w:val="24"/>
          <w:szCs w:val="24"/>
        </w:rPr>
        <w:footnoteReference w:id="3"/>
      </w:r>
    </w:p>
    <w:p w14:paraId="5E1CDCA9"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Ceza Genel Kurulu, Bylock ile ilgili 16. Ceza Dairesinin verdiği ilk kararın temyiz incelemesini yaptığı dosyada; </w:t>
      </w:r>
      <w:r w:rsidRPr="007B0C1D">
        <w:rPr>
          <w:rFonts w:ascii="Times New Roman" w:hAnsi="Times New Roman" w:cs="Times New Roman"/>
          <w:i/>
          <w:iCs/>
          <w:sz w:val="24"/>
          <w:szCs w:val="24"/>
        </w:rPr>
        <w:t xml:space="preserve">“... MİT’in yasal yetkisi çerçevesinde temin ettiği Bylock veri tabanı üzerinde CMK’nın 134üncü maddesi gereğince </w:t>
      </w:r>
      <w:r w:rsidRPr="007B0C1D">
        <w:rPr>
          <w:rFonts w:ascii="Times New Roman" w:hAnsi="Times New Roman" w:cs="Times New Roman"/>
          <w:b/>
          <w:i/>
          <w:iCs/>
          <w:sz w:val="24"/>
          <w:szCs w:val="24"/>
        </w:rPr>
        <w:t>geçmişe dönük olarak uygulanan arama tedbirinin</w:t>
      </w:r>
      <w:r w:rsidRPr="007B0C1D">
        <w:rPr>
          <w:rFonts w:ascii="Times New Roman" w:hAnsi="Times New Roman" w:cs="Times New Roman"/>
          <w:i/>
          <w:iCs/>
          <w:sz w:val="24"/>
          <w:szCs w:val="24"/>
        </w:rPr>
        <w:t xml:space="preserve">; “demokratik bir ülkede gereklilik” ve “orantılılık” ilkelerine uygun olduğu kuşkusuzdur” </w:t>
      </w:r>
      <w:r w:rsidRPr="007B0C1D">
        <w:rPr>
          <w:rFonts w:ascii="Times New Roman" w:hAnsi="Times New Roman" w:cs="Times New Roman"/>
          <w:sz w:val="24"/>
          <w:szCs w:val="24"/>
        </w:rPr>
        <w:t>demiştir.</w:t>
      </w:r>
      <w:r w:rsidRPr="007B0C1D">
        <w:rPr>
          <w:rFonts w:ascii="Times New Roman" w:hAnsi="Times New Roman" w:cs="Times New Roman"/>
          <w:sz w:val="24"/>
          <w:szCs w:val="24"/>
          <w:vertAlign w:val="superscript"/>
        </w:rPr>
        <w:footnoteReference w:id="4"/>
      </w:r>
      <w:r w:rsidRPr="007B0C1D">
        <w:rPr>
          <w:rFonts w:ascii="Times New Roman" w:hAnsi="Times New Roman" w:cs="Times New Roman"/>
          <w:sz w:val="24"/>
          <w:szCs w:val="24"/>
        </w:rPr>
        <w:t xml:space="preserve"> Kararda yer verilen ve geçmişe dönük olarak uygulandığı belirtilen hakim kararı, 09/12/2016 tarihinde Ankara 4. Sulh Ceza Hakimliği tarafından verilen yukarıdaki karardır (2016/6774 D. İş).</w:t>
      </w:r>
    </w:p>
    <w:p w14:paraId="144A1CAF"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Karar tarihinden de anlaşılacağı üzere; MİT tarafından 2016 yılı Ocak ayında elde edilip üzerinde çalışma yapılan ve MİT’in 04/04/2017 tarihli basın açıklamasında belirttiği şekliyle Mayıs 2016 itibariyle resmi kurumlarla paylaşılan Bylock’la ilgili arama kararı, neredeyse bu bilgi ve verilerin elde edilmesinden on bir ay sonra verilmiştir. Özetle, Bylock bilgileri elde edilmeden önce Bylock sunucusunda arama yapılmasına ilişkin CMK’nın 134. maddesi gereğince alınmış bir hâkim kararı bulunmamaktaydı. Ayrıca CMK’da, Ceza Genel Kurulu karında bahsedildiği şekliyle geçmişe dönük arama usulü de bulunmadığı gibi arama kararları geçmişe değil geleceğe etkili sonuç doğurur. Zira kopyalama ve el koyma işlemi, ancak verilen arama kararı ve bu kararın icrası sonucu elde edilecek dijital materyal üzerinde yapılabilir.</w:t>
      </w:r>
    </w:p>
    <w:p w14:paraId="7A3B1E84"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Kısaca, soruşturma koşulu gibi Bylock verilerinin elde edilme işlemleri de tersinden yapılmıştır. Yani, söz konusu verilerin bulunduğu hard disk ve flash belleğe hakim kararı olmadan MİT </w:t>
      </w:r>
      <w:r w:rsidRPr="007B0C1D">
        <w:rPr>
          <w:rFonts w:ascii="Times New Roman" w:hAnsi="Times New Roman" w:cs="Times New Roman"/>
          <w:sz w:val="24"/>
          <w:szCs w:val="24"/>
        </w:rPr>
        <w:lastRenderedPageBreak/>
        <w:t xml:space="preserve">tarafından 134/2. maddesi gereğince önce </w:t>
      </w:r>
      <w:r w:rsidRPr="007B0C1D">
        <w:rPr>
          <w:rFonts w:ascii="Times New Roman" w:hAnsi="Times New Roman" w:cs="Times New Roman"/>
          <w:b/>
          <w:sz w:val="24"/>
          <w:szCs w:val="24"/>
        </w:rPr>
        <w:t xml:space="preserve">el koyma </w:t>
      </w:r>
      <w:r w:rsidRPr="007B0C1D">
        <w:rPr>
          <w:rFonts w:ascii="Times New Roman" w:hAnsi="Times New Roman" w:cs="Times New Roman"/>
          <w:sz w:val="24"/>
          <w:szCs w:val="24"/>
        </w:rPr>
        <w:t xml:space="preserve">tedbiri uygulanmış, sonra da maddenin 1. fıkrasındaki </w:t>
      </w:r>
      <w:r w:rsidRPr="007B0C1D">
        <w:rPr>
          <w:rFonts w:ascii="Times New Roman" w:hAnsi="Times New Roman" w:cs="Times New Roman"/>
          <w:b/>
          <w:sz w:val="24"/>
          <w:szCs w:val="24"/>
        </w:rPr>
        <w:t xml:space="preserve">arama </w:t>
      </w:r>
      <w:r w:rsidRPr="007B0C1D">
        <w:rPr>
          <w:rFonts w:ascii="Times New Roman" w:hAnsi="Times New Roman" w:cs="Times New Roman"/>
          <w:sz w:val="24"/>
          <w:szCs w:val="24"/>
        </w:rPr>
        <w:t>tedbiri gerçekleştirilmiştir.</w:t>
      </w:r>
    </w:p>
    <w:p w14:paraId="490EAFF4" w14:textId="77777777" w:rsidR="004D6920" w:rsidRPr="007B0C1D" w:rsidRDefault="004D6920" w:rsidP="004D692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7B0C1D">
        <w:rPr>
          <w:rFonts w:ascii="Times New Roman" w:hAnsi="Times New Roman" w:cs="Times New Roman"/>
          <w:b/>
          <w:i/>
          <w:sz w:val="24"/>
          <w:szCs w:val="24"/>
        </w:rPr>
        <w:t>c. Bylock Sunucusundan Usulüne Uygun İmaj Alınmış Mıdır?</w:t>
      </w:r>
    </w:p>
    <w:p w14:paraId="5381032C"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MİT’in hazırladığı Teknik Raporda ve hazırlanan tutanaklarda Bylock bilgilerinin ele geçirilmesi sırasında Bylock sunucusunun bağlı olduğu ana bilgisayardan imaj alındığına ilişkin bir bilgiye ve verilerin elde ediliş yöntemine değinilmemiştir. Raporda, imaj alma işlemine hiç yer verilmeyip istihbari gerekçeler ileri sürülerek bilgilerin elde ediliş yöntemi dahi gizlenmiştir. MİT, Bylock sunucunun ele geçirilmesine ilişkin çalışmasını istihbari faaliyet kapsamında yapmış ve bilgileri </w:t>
      </w:r>
      <w:r w:rsidRPr="007B0C1D">
        <w:rPr>
          <w:rFonts w:ascii="Times New Roman" w:hAnsi="Times New Roman" w:cs="Times New Roman"/>
          <w:i/>
          <w:iCs/>
          <w:sz w:val="24"/>
          <w:szCs w:val="24"/>
        </w:rPr>
        <w:t xml:space="preserve">“hassas” </w:t>
      </w:r>
      <w:r w:rsidRPr="007B0C1D">
        <w:rPr>
          <w:rFonts w:ascii="Times New Roman" w:hAnsi="Times New Roman" w:cs="Times New Roman"/>
          <w:sz w:val="24"/>
          <w:szCs w:val="24"/>
        </w:rPr>
        <w:t>yöntem olarak adlandırdığı hackerlik (bilgisayar korsanlığı) yoluyla ele geçirmiştir.</w:t>
      </w:r>
    </w:p>
    <w:p w14:paraId="17639F88"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Sunucuya ve veri tabanına hâkim kararı olmadan müdahale edildiğinden; uygulamanın bütünlüğü, gizliliği, doğruluğu kaybolmuş, uygulama sunucusuna ve veri tabanına veri ekleme, silme ve çıkarma işlemlerinin yapılabilmesi mümkün hale gelmiş ve elde edilen bilgilerin güvenilirliği ortadan kalkmıştır. Kaldı ki bu konuda Ankara C.Başsavcılığı tarafından 2016/104109 soruşturma numaralı dosya kapsamında aldırılan 12/7/2017 tarihli bilirkişi raporunda da </w:t>
      </w:r>
      <w:r w:rsidRPr="007B0C1D">
        <w:rPr>
          <w:rFonts w:ascii="Times New Roman" w:hAnsi="Times New Roman" w:cs="Times New Roman"/>
          <w:bCs/>
          <w:sz w:val="24"/>
          <w:szCs w:val="24"/>
        </w:rPr>
        <w:t>Bylock veri tabanının yapısının bozuk olduğu</w:t>
      </w:r>
      <w:r w:rsidRPr="007B0C1D">
        <w:rPr>
          <w:rFonts w:ascii="Times New Roman" w:hAnsi="Times New Roman" w:cs="Times New Roman"/>
          <w:sz w:val="24"/>
          <w:szCs w:val="24"/>
        </w:rPr>
        <w:t>, yani orijinal olmadığı, üzerinde oynama yapıldığı ve bir takım teknik yöntemlerle geri getirildiği belirtilmiştir.</w:t>
      </w:r>
      <w:r w:rsidRPr="007B0C1D">
        <w:rPr>
          <w:rFonts w:ascii="Times New Roman" w:hAnsi="Times New Roman" w:cs="Times New Roman"/>
          <w:sz w:val="24"/>
          <w:szCs w:val="24"/>
          <w:vertAlign w:val="superscript"/>
        </w:rPr>
        <w:t xml:space="preserve"> </w:t>
      </w:r>
      <w:r w:rsidRPr="007B0C1D">
        <w:rPr>
          <w:rFonts w:ascii="Times New Roman" w:hAnsi="Times New Roman" w:cs="Times New Roman"/>
          <w:b/>
          <w:sz w:val="24"/>
          <w:szCs w:val="24"/>
        </w:rPr>
        <w:t>(Bahsi geçen bilirkişi raporu ve Bylock ile ilgili uzman görüşleri EK-23’te sunulmuştur)</w:t>
      </w:r>
    </w:p>
    <w:p w14:paraId="63EBD123"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Yargıtay kararlarında, içerisinde Bylock bilgilerini içeren materyallerin 09/12/2016 tarihinde savcılığa </w:t>
      </w:r>
      <w:r w:rsidRPr="007B0C1D">
        <w:rPr>
          <w:rFonts w:ascii="Times New Roman" w:hAnsi="Times New Roman" w:cs="Times New Roman"/>
          <w:iCs/>
          <w:sz w:val="24"/>
          <w:szCs w:val="24"/>
        </w:rPr>
        <w:t>tesliminin ardından</w:t>
      </w:r>
      <w:r w:rsidRPr="007B0C1D">
        <w:rPr>
          <w:rFonts w:ascii="Times New Roman" w:hAnsi="Times New Roman" w:cs="Times New Roman"/>
          <w:sz w:val="24"/>
          <w:szCs w:val="24"/>
        </w:rPr>
        <w:t xml:space="preserve"> bu dijital malzemeler üzerinden imaj alınması için sulh ceza hâkimliliğinden karar alındığı belirtilmiştir. İmaj alma işleminin gerçekleştirilebilmesi için usulüne uygun şekilde verilmiş bir arama kararı ve bu karara istinaden yapılan aramada dijital malzemenin ele geçirilmesi gerekirdi. Ancak, Bylock bilgilerinin elde edilmesiyle ilgili verilmiş bir arama kararı bulunmamaktadır. Zira bu konudaki hakim kararı, imajın alınmasından sonra verilmiştir. </w:t>
      </w:r>
    </w:p>
    <w:p w14:paraId="68C31669" w14:textId="5F2670B6"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Şöyle ki; Ceza Genel Kurulu, </w:t>
      </w:r>
      <w:r w:rsidRPr="007B0C1D">
        <w:rPr>
          <w:rFonts w:ascii="Times New Roman" w:hAnsi="Times New Roman" w:cs="Times New Roman"/>
          <w:iCs/>
          <w:sz w:val="24"/>
          <w:szCs w:val="24"/>
        </w:rPr>
        <w:t xml:space="preserve">20/12/2018 </w:t>
      </w:r>
      <w:r w:rsidRPr="007B0C1D">
        <w:rPr>
          <w:rFonts w:ascii="Times New Roman" w:hAnsi="Times New Roman" w:cs="Times New Roman"/>
          <w:sz w:val="24"/>
          <w:szCs w:val="24"/>
        </w:rPr>
        <w:t>tarihli kararında</w:t>
      </w:r>
      <w:r w:rsidRPr="007B0C1D">
        <w:rPr>
          <w:rFonts w:ascii="Times New Roman" w:hAnsi="Times New Roman" w:cs="Times New Roman"/>
          <w:sz w:val="24"/>
          <w:szCs w:val="24"/>
          <w:vertAlign w:val="superscript"/>
        </w:rPr>
        <w:footnoteReference w:id="5"/>
      </w:r>
      <w:r w:rsidRPr="007B0C1D">
        <w:rPr>
          <w:rFonts w:ascii="Times New Roman" w:hAnsi="Times New Roman" w:cs="Times New Roman"/>
          <w:sz w:val="24"/>
          <w:szCs w:val="24"/>
          <w:vertAlign w:val="superscript"/>
        </w:rPr>
        <w:t xml:space="preserve"> </w:t>
      </w:r>
      <w:r w:rsidRPr="007B0C1D">
        <w:rPr>
          <w:rFonts w:ascii="Times New Roman" w:hAnsi="Times New Roman" w:cs="Times New Roman"/>
          <w:sz w:val="24"/>
          <w:szCs w:val="24"/>
        </w:rPr>
        <w:t xml:space="preserve">Emniyet Genel Müdürlüğü tarafından hazırlanan 11/12/2018 tarihli </w:t>
      </w:r>
      <w:r w:rsidRPr="007B0C1D">
        <w:rPr>
          <w:rFonts w:ascii="Times New Roman" w:hAnsi="Times New Roman" w:cs="Times New Roman"/>
          <w:b/>
          <w:i/>
          <w:sz w:val="24"/>
          <w:szCs w:val="24"/>
        </w:rPr>
        <w:t xml:space="preserve">“Bylock Kronoloji Raporu” </w:t>
      </w:r>
      <w:r w:rsidRPr="007B0C1D">
        <w:rPr>
          <w:rFonts w:ascii="Times New Roman" w:hAnsi="Times New Roman" w:cs="Times New Roman"/>
          <w:sz w:val="24"/>
          <w:szCs w:val="24"/>
        </w:rPr>
        <w:t xml:space="preserve">na yer vermiştir. Rapora göre; Bylock verilerinin imajı Ankara 4. Sulh Ceza Hakimliğinin 09/12/2016 tarihli kararından sonra değil, bu tarihten 11 gün önce ve hakim kararı olmadan alınmış ve bu suretle Bylock bilgi ve verileri orijinalliğini kaybetmiştir. İmaj alınması için 4. Sulh Ceza Hâkimliğince verilen karar üzerine 16/12/2016 tarihinde KOM Daire Başkanlığına teslim edilen Bylock abone listesi de </w:t>
      </w:r>
      <w:r w:rsidRPr="007B0C1D">
        <w:rPr>
          <w:rFonts w:ascii="Times New Roman" w:hAnsi="Times New Roman" w:cs="Times New Roman"/>
          <w:b/>
          <w:sz w:val="24"/>
          <w:szCs w:val="24"/>
        </w:rPr>
        <w:t>bu karardan önce</w:t>
      </w:r>
      <w:r w:rsidRPr="007B0C1D">
        <w:rPr>
          <w:rFonts w:ascii="Times New Roman" w:hAnsi="Times New Roman" w:cs="Times New Roman"/>
          <w:sz w:val="24"/>
          <w:szCs w:val="24"/>
        </w:rPr>
        <w:t xml:space="preserve"> oluşturulmuştur.</w:t>
      </w:r>
      <w:r w:rsidR="008D1C4A" w:rsidRPr="007B0C1D">
        <w:rPr>
          <w:rFonts w:ascii="Times New Roman" w:hAnsi="Times New Roman" w:cs="Times New Roman"/>
          <w:sz w:val="24"/>
          <w:szCs w:val="24"/>
        </w:rPr>
        <w:t xml:space="preserve"> Verilerin, yargı denetimi dışında bırakılarak aylarca MİT’te tutulması bu verilerin güvenliğini de sakatlamıştır.</w:t>
      </w:r>
    </w:p>
    <w:p w14:paraId="1F3FAD29" w14:textId="77777777" w:rsidR="004D6920" w:rsidRPr="007B0C1D" w:rsidRDefault="004D6920" w:rsidP="004D692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7B0C1D">
        <w:rPr>
          <w:rFonts w:ascii="Times New Roman" w:hAnsi="Times New Roman" w:cs="Times New Roman"/>
          <w:b/>
          <w:i/>
          <w:sz w:val="24"/>
          <w:szCs w:val="24"/>
        </w:rPr>
        <w:t>d. 2937 Sayılı MİT Kanunu Açısından Kararın Değerlendirilmesi</w:t>
      </w:r>
    </w:p>
    <w:p w14:paraId="68E2D0C3"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Bylock bilgilerinin elde edilme yöntemi CMK’ya aykırı olduğu gibi 2937 sayılı MİT Kanunu’na da aykırıdır. 2937 sayılı Kanun’un 4/1-i maddesiyle MİT’e verilen görevin kapsamı, terörle mücadele de dâhil istihbari yöntemlerle elde edilen bilgiler ışığında oluşturulan istihbaratın ilgili kuruluşlara ulaştırılmasından ibarettir ve bu aşamadan sonra konuyla ilgili araştırma ve istihbaratın gereğini yapma görevi ilgili kuruluşlara aittir. Ancak MİT, Bylock hususunda aldığı istihbaratı Başsavcılığına iletmemiş; görevi olmamasına rağmen bu konuyla ilgili çalışma yaparak adli </w:t>
      </w:r>
      <w:r w:rsidRPr="007B0C1D">
        <w:rPr>
          <w:rFonts w:ascii="Times New Roman" w:hAnsi="Times New Roman" w:cs="Times New Roman"/>
          <w:sz w:val="24"/>
          <w:szCs w:val="24"/>
        </w:rPr>
        <w:lastRenderedPageBreak/>
        <w:t>soruşturma kapsamında elde edilmesi gereken Bylock bilgilerini istihbari çalışma sonucu elde etmiştir.</w:t>
      </w:r>
      <w:r w:rsidRPr="007B0C1D">
        <w:rPr>
          <w:rStyle w:val="DipnotBavurusu"/>
          <w:rFonts w:ascii="Times New Roman" w:hAnsi="Times New Roman"/>
          <w:sz w:val="24"/>
          <w:szCs w:val="24"/>
        </w:rPr>
        <w:footnoteReference w:id="6"/>
      </w:r>
      <w:r w:rsidRPr="007B0C1D">
        <w:rPr>
          <w:rFonts w:ascii="Times New Roman" w:hAnsi="Times New Roman" w:cs="Times New Roman"/>
          <w:sz w:val="24"/>
          <w:szCs w:val="24"/>
        </w:rPr>
        <w:t xml:space="preserve"> </w:t>
      </w:r>
    </w:p>
    <w:p w14:paraId="606FC4FF"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2937 sayılı Kanun’un 4/2. maddesindeki MİT’e istihbari görev dışında vazife verilemeyeceğine ilişkin düzenleme karşısında da bu çalışmanın yasal olmadığı anlaşılmaktadır.</w:t>
      </w:r>
    </w:p>
    <w:p w14:paraId="3AE543A7"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pacing w:val="-1"/>
          <w:sz w:val="24"/>
          <w:szCs w:val="24"/>
        </w:rPr>
      </w:pPr>
      <w:r w:rsidRPr="007B0C1D">
        <w:rPr>
          <w:rFonts w:ascii="Times New Roman" w:hAnsi="Times New Roman" w:cs="Times New Roman"/>
          <w:spacing w:val="-1"/>
          <w:sz w:val="24"/>
          <w:szCs w:val="24"/>
        </w:rPr>
        <w:t xml:space="preserve">Benzer şekilde, 2937 sayılı Kanun’un Ek-1. maddesinde, </w:t>
      </w:r>
      <w:r w:rsidRPr="007B0C1D">
        <w:rPr>
          <w:rFonts w:ascii="Times New Roman" w:hAnsi="Times New Roman" w:cs="Times New Roman"/>
          <w:sz w:val="24"/>
          <w:szCs w:val="24"/>
        </w:rPr>
        <w:t xml:space="preserve">TCK’nın 326 ile 339. maddeleri arasında düzenlenen </w:t>
      </w:r>
      <w:r w:rsidRPr="007B0C1D">
        <w:rPr>
          <w:rFonts w:ascii="Times New Roman" w:hAnsi="Times New Roman" w:cs="Times New Roman"/>
          <w:i/>
          <w:iCs/>
          <w:sz w:val="24"/>
          <w:szCs w:val="24"/>
        </w:rPr>
        <w:t>“casusluk suçları”</w:t>
      </w:r>
      <w:r w:rsidRPr="007B0C1D">
        <w:rPr>
          <w:rFonts w:ascii="Times New Roman" w:hAnsi="Times New Roman" w:cs="Times New Roman"/>
          <w:sz w:val="24"/>
          <w:szCs w:val="24"/>
        </w:rPr>
        <w:t xml:space="preserve"> dışında </w:t>
      </w:r>
      <w:r w:rsidRPr="007B0C1D">
        <w:rPr>
          <w:rFonts w:ascii="Times New Roman" w:hAnsi="Times New Roman" w:cs="Times New Roman"/>
          <w:spacing w:val="-1"/>
          <w:sz w:val="24"/>
          <w:szCs w:val="24"/>
        </w:rPr>
        <w:t xml:space="preserve">adli makamlarca MİT’in elindeki bilgi ve belgelerin istenemeyeceği ve bu suçlar dışında MİT’in elindeki bilgi ve belgelerin de adli makamlara verilemeyeceği belirtilmektedir. Bununla birlikte Ankara Cumhuriyet Başsavcılığı, TCK’nın 314. maddesinde düzenlenen </w:t>
      </w:r>
      <w:r w:rsidRPr="007B0C1D">
        <w:rPr>
          <w:rFonts w:ascii="Times New Roman" w:hAnsi="Times New Roman" w:cs="Times New Roman"/>
          <w:i/>
          <w:iCs/>
          <w:spacing w:val="-1"/>
          <w:sz w:val="24"/>
          <w:szCs w:val="24"/>
        </w:rPr>
        <w:t>“silahlı terör örgütü suçu”</w:t>
      </w:r>
      <w:r w:rsidRPr="007B0C1D">
        <w:rPr>
          <w:rFonts w:ascii="Times New Roman" w:hAnsi="Times New Roman" w:cs="Times New Roman"/>
          <w:spacing w:val="-1"/>
          <w:sz w:val="24"/>
          <w:szCs w:val="24"/>
        </w:rPr>
        <w:t xml:space="preserve"> kapsamında yürüttüğü soruşturmada MİT’ten Bylock bilgilerini istemiş; MİT de elde ettiği Bylock bilgilerini Başsavcılıkla paylaşmıştır. Dolayısıyla, MİT’in yaptığı çalışmanın 2937 sayılı Kanun’a uygun olduğu kabul edilse bile, bu bilgilerin müsnet suç nedeniyle adli mercilerle paylaşılması bu Kanun gereğince yasaktır.</w:t>
      </w:r>
    </w:p>
    <w:p w14:paraId="08612F6B"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2937 sayılı Kanun’un 6/6. maddesinde, MİT’in istihbari faaliyet kapsamında elde ettiği bilgilerin </w:t>
      </w:r>
      <w:r w:rsidRPr="007B0C1D">
        <w:rPr>
          <w:rFonts w:ascii="Times New Roman" w:hAnsi="Times New Roman" w:cs="Times New Roman"/>
          <w:i/>
          <w:sz w:val="24"/>
          <w:szCs w:val="24"/>
        </w:rPr>
        <w:t>istihbari amaç dışında</w:t>
      </w:r>
      <w:r w:rsidRPr="007B0C1D">
        <w:rPr>
          <w:rFonts w:ascii="Times New Roman" w:hAnsi="Times New Roman" w:cs="Times New Roman"/>
          <w:sz w:val="24"/>
          <w:szCs w:val="24"/>
        </w:rPr>
        <w:t xml:space="preserve"> kullanılamayacağı ifade edilmiştir. Burada bahsedilen, soruşturma ve kovuşturmalarda kullanılamayacak olan bilgiler, MİT’in görev alanına giren konularda ve hukuka uygun olarak elde ettiği bilgilerdir. Bylock bilgilerinin ise hukuka aykırı olarak ele geçirilmeleri nedeniyle zaten delil olarak kullanılabilmesi mümkün değildi.</w:t>
      </w:r>
    </w:p>
    <w:p w14:paraId="1364D5DE"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Son olarak, CMK’nın 164. maddesinde adli kolluk görevi bulunan kurumları belirtmiş olup, madde gereğince MİT’in adli kolluk görevi, yani delil toplama yetkisi yoktur. Zira MİT’in esas görevi istihbarattır ve istihbarat görevini yaparken elde ettiği bilgiler, CMK da belirtilen usule göre elde edilmesi ve ancak 2937 sayılı Kanun’un Ek-1. maddesinde belirtilen casusluk suçları kapsamında olması halinde yasal delil olarak kullanılabilmektedir.</w:t>
      </w:r>
    </w:p>
    <w:p w14:paraId="1E6D6FC1" w14:textId="77777777" w:rsidR="004D6920" w:rsidRPr="007B0C1D" w:rsidRDefault="004D6920" w:rsidP="004D692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7B0C1D">
        <w:rPr>
          <w:rFonts w:ascii="Times New Roman" w:hAnsi="Times New Roman" w:cs="Times New Roman"/>
          <w:b/>
          <w:i/>
          <w:sz w:val="24"/>
          <w:szCs w:val="24"/>
        </w:rPr>
        <w:t>e. 6706 Sayılı Cezai Konularda Uluslararası Adli İş Birliği Kanunu</w:t>
      </w:r>
      <w:r w:rsidRPr="007B0C1D">
        <w:rPr>
          <w:rFonts w:ascii="Times New Roman" w:hAnsi="Times New Roman" w:cs="Times New Roman"/>
          <w:b/>
          <w:sz w:val="24"/>
          <w:szCs w:val="24"/>
        </w:rPr>
        <w:t xml:space="preserve"> </w:t>
      </w:r>
      <w:r w:rsidRPr="007B0C1D">
        <w:rPr>
          <w:rFonts w:ascii="Times New Roman" w:hAnsi="Times New Roman" w:cs="Times New Roman"/>
          <w:b/>
          <w:i/>
          <w:sz w:val="24"/>
          <w:szCs w:val="24"/>
        </w:rPr>
        <w:t>Açısından Kararın Değerlendirilmesi</w:t>
      </w:r>
    </w:p>
    <w:p w14:paraId="67650B3D"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Bylock uygulaması Litvanya’da bulunmaktaydı ve bu sunucu üzerinde arama, kopyalama ve el koyma işlemi yapılabilmesi ancak 6706 sayılı Kanun ve tarafı olduğumuz uluslararası sözleşmeler gereğince yapılacak adli yardımlaşmayla mümkündü. Ayrıca, adli iş birliği yapılması halinde de bu işlemler Litvanya yargı mercilerince yerine getirilmeliydi. Ancak bu hususların hiç birine uyulmamıştır.</w:t>
      </w:r>
    </w:p>
    <w:p w14:paraId="2A6D11FB" w14:textId="77777777" w:rsidR="004D6920" w:rsidRPr="007B0C1D" w:rsidRDefault="004D6920" w:rsidP="004D692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7B0C1D">
        <w:rPr>
          <w:rFonts w:ascii="Times New Roman" w:hAnsi="Times New Roman" w:cs="Times New Roman"/>
          <w:b/>
          <w:i/>
          <w:sz w:val="24"/>
          <w:szCs w:val="24"/>
        </w:rPr>
        <w:t>f. 5809 Sayılı Elektronik Haberleşme Kanunu Açısından Kararın Değerlendirilmesi</w:t>
      </w:r>
    </w:p>
    <w:p w14:paraId="35579676"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Bylock bilgilerinin elde ediliş yöntemi 5809 sayılı Kanuna da aykırıdır. MİT, ele geçirdiği Bylock sunucusuna bağlanan IP adreslerini tespit etmiş ve 2937 sayılı Kanun’un 6/1-b maddesine (kamu kurum ve kuruluşlarıyla özel kuruluşlardan belge ve bilgi isteyebilme yetkisi) dayanarak bu IP’lerin kimlere ait olduğunu GSM şirketlerinden öğrenmiştir.</w:t>
      </w:r>
    </w:p>
    <w:p w14:paraId="7C340342"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Anayasa Mahkemesi konuyla ilgili verdiği kararında, MİT’e tanınan bu yetkinin istihbari bilgi toplama ve analiz yapmak için verildiğinin ve adli soruşturma ve kovuşturmayı gerektiren konularda kullanılamayacağının altını çizmiştir.</w:t>
      </w:r>
      <w:r w:rsidRPr="007B0C1D">
        <w:rPr>
          <w:rStyle w:val="DipnotBavurusu"/>
          <w:rFonts w:ascii="Times New Roman" w:hAnsi="Times New Roman"/>
          <w:sz w:val="24"/>
          <w:szCs w:val="24"/>
        </w:rPr>
        <w:footnoteReference w:id="7"/>
      </w:r>
      <w:r w:rsidRPr="007B0C1D">
        <w:rPr>
          <w:rFonts w:ascii="Times New Roman" w:hAnsi="Times New Roman" w:cs="Times New Roman"/>
          <w:sz w:val="24"/>
          <w:szCs w:val="24"/>
        </w:rPr>
        <w:t xml:space="preserve"> Ancak, MİT kendisine verilen bu yetkiyi de istihbari faaliyet kapsamında değil, adli soruşturmayı gerektiren bir konuda kullanmıştır.</w:t>
      </w:r>
    </w:p>
    <w:p w14:paraId="726DE55F" w14:textId="77777777" w:rsidR="004D6920" w:rsidRPr="007B0C1D" w:rsidRDefault="004D6920" w:rsidP="004D6920">
      <w:pPr>
        <w:tabs>
          <w:tab w:val="left" w:pos="284"/>
          <w:tab w:val="left" w:pos="567"/>
          <w:tab w:val="left" w:pos="851"/>
          <w:tab w:val="left" w:pos="1134"/>
          <w:tab w:val="left" w:pos="1418"/>
        </w:tabs>
        <w:spacing w:after="0" w:line="240" w:lineRule="auto"/>
        <w:jc w:val="both"/>
        <w:rPr>
          <w:rFonts w:ascii="Times New Roman" w:hAnsi="Times New Roman" w:cs="Times New Roman"/>
          <w:iCs/>
          <w:sz w:val="24"/>
          <w:szCs w:val="24"/>
        </w:rPr>
      </w:pPr>
      <w:r w:rsidRPr="007B0C1D">
        <w:rPr>
          <w:rFonts w:ascii="Times New Roman" w:hAnsi="Times New Roman" w:cs="Times New Roman"/>
          <w:sz w:val="24"/>
          <w:szCs w:val="24"/>
        </w:rPr>
        <w:t xml:space="preserve">Ayrıca, </w:t>
      </w:r>
      <w:r w:rsidRPr="007B0C1D">
        <w:rPr>
          <w:rFonts w:ascii="Times New Roman" w:hAnsi="Times New Roman" w:cs="Times New Roman"/>
          <w:color w:val="222222"/>
          <w:sz w:val="24"/>
          <w:szCs w:val="24"/>
          <w:shd w:val="clear" w:color="auto" w:fill="FFFFFF"/>
        </w:rPr>
        <w:t>5809 sayılı Elektronik Haberleşme Kanunu’nun 51/10. maddesinde; kişisel veri niteliğindeki</w:t>
      </w:r>
      <w:r w:rsidRPr="007B0C1D">
        <w:rPr>
          <w:rFonts w:ascii="Times New Roman" w:hAnsi="Times New Roman" w:cs="Times New Roman"/>
          <w:b/>
          <w:color w:val="222222"/>
          <w:sz w:val="24"/>
          <w:szCs w:val="24"/>
          <w:shd w:val="clear" w:color="auto" w:fill="FFFFFF"/>
        </w:rPr>
        <w:t xml:space="preserve"> </w:t>
      </w:r>
      <w:r w:rsidRPr="007B0C1D">
        <w:rPr>
          <w:rFonts w:ascii="Times New Roman" w:hAnsi="Times New Roman" w:cs="Times New Roman"/>
          <w:sz w:val="24"/>
          <w:szCs w:val="24"/>
        </w:rPr>
        <w:t xml:space="preserve">internet trafik verilerinin, haberleşmenin yapıldığı tarihten itibaren bir yıldan az ve iki yıldan fazla olmamak üzere saklanacağı ve saklanma sürelerinin yönetmelikle belirleneceği belirtilmiştir. Bu Kanuna dayanılarak çıkarılan Elektronik Haberleşme Sektöründe Kişisel Verilerin İşlenmesi ve Gizliliğinin Korunması Hakkında Yönetmeliğin 14/1 ve Elektronik Haberleşme Sektörüne İlişkin Yetkilendirme Yönetmeliği’nin 19/1-f maddeleri uyarınca da GSM şirketleri bu bilgileri en fazla bir yıl, gerçekleşmeyen (0 saniye) aramalara ilişkin kayıtları ise üç ay süreyle saklayabilir (m. 14/1). </w:t>
      </w:r>
      <w:r w:rsidRPr="007B0C1D">
        <w:rPr>
          <w:rFonts w:ascii="Times New Roman" w:hAnsi="Times New Roman" w:cs="Times New Roman"/>
          <w:iCs/>
          <w:sz w:val="24"/>
          <w:szCs w:val="24"/>
        </w:rPr>
        <w:t>Bu sürelerden daha fazla bu bilgilerin saklanması özel hayatın gizliliğinin ihlaline neden olur ve bu bilgileri hukuka aykırı hale getirir.</w:t>
      </w:r>
      <w:r w:rsidRPr="007B0C1D">
        <w:rPr>
          <w:rStyle w:val="DipnotBavurusu"/>
          <w:rFonts w:ascii="Times New Roman" w:hAnsi="Times New Roman"/>
          <w:iCs/>
          <w:sz w:val="24"/>
          <w:szCs w:val="24"/>
        </w:rPr>
        <w:footnoteReference w:id="8"/>
      </w:r>
      <w:r w:rsidRPr="007B0C1D">
        <w:rPr>
          <w:rFonts w:ascii="Times New Roman" w:hAnsi="Times New Roman" w:cs="Times New Roman"/>
          <w:iCs/>
          <w:sz w:val="24"/>
          <w:szCs w:val="24"/>
        </w:rPr>
        <w:t xml:space="preserve"> </w:t>
      </w:r>
    </w:p>
    <w:p w14:paraId="7D056B03" w14:textId="77777777" w:rsidR="004D6920" w:rsidRPr="007B0C1D" w:rsidRDefault="004D6920" w:rsidP="004D692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7B0C1D">
        <w:rPr>
          <w:rFonts w:ascii="Times New Roman" w:hAnsi="Times New Roman" w:cs="Times New Roman"/>
          <w:iCs/>
          <w:sz w:val="24"/>
          <w:szCs w:val="24"/>
        </w:rPr>
        <w:lastRenderedPageBreak/>
        <w:t>Erişim ve yer sağlayıcıların kişisel veri kabul edilen bu bilgileri tutmaları görevlerinden kaynaklanan yasal bir zorunluluk olup ilgililerin temel hak ve özgürlüklerinin korunması amacını taşır. Dolayısıyla, yasal zorunluluk nedeniyle tutulan bilgiler ancak mevzuatta öngörülen süre kadar saklanabilir. Aksi durumun</w:t>
      </w:r>
      <w:r w:rsidRPr="007B0C1D">
        <w:rPr>
          <w:rFonts w:ascii="Times New Roman" w:hAnsi="Times New Roman" w:cs="Times New Roman"/>
          <w:i/>
          <w:iCs/>
          <w:sz w:val="24"/>
          <w:szCs w:val="24"/>
        </w:rPr>
        <w:t xml:space="preserve"> </w:t>
      </w:r>
      <w:r w:rsidRPr="007B0C1D">
        <w:rPr>
          <w:rFonts w:ascii="Times New Roman" w:hAnsi="Times New Roman" w:cs="Times New Roman"/>
          <w:iCs/>
          <w:sz w:val="24"/>
          <w:szCs w:val="24"/>
        </w:rPr>
        <w:t>kabulü, verilmeyen bir yetkinin keyfi olarak erişim ve yer sağlayıcılar tarafından kullanılması anlamına gelir ki bu durum hukuka aykırıdır.</w:t>
      </w:r>
    </w:p>
    <w:p w14:paraId="53E75BE2" w14:textId="77777777" w:rsidR="004D6920" w:rsidRPr="007B0C1D" w:rsidRDefault="004D6920" w:rsidP="004D692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7B0C1D">
        <w:rPr>
          <w:rFonts w:ascii="Times New Roman" w:hAnsi="Times New Roman" w:cs="Times New Roman"/>
          <w:spacing w:val="-3"/>
          <w:sz w:val="24"/>
          <w:szCs w:val="24"/>
        </w:rPr>
        <w:t xml:space="preserve">Kişilerin özel hayatın gizliliği kapsamında korunan ve haberleşmelerine ilişkin olan trafik bilgilerinin öngörülen sürelerden daha fazla saklanması halinde, ilgili GSM firması personeli TCK’nın 135. maddesinde düzenlenen </w:t>
      </w:r>
      <w:r w:rsidRPr="007B0C1D">
        <w:rPr>
          <w:rFonts w:ascii="Times New Roman" w:hAnsi="Times New Roman" w:cs="Times New Roman"/>
          <w:i/>
          <w:iCs/>
          <w:spacing w:val="-3"/>
          <w:sz w:val="24"/>
          <w:szCs w:val="24"/>
        </w:rPr>
        <w:t xml:space="preserve">“kişisel verilerin kaydedilmesi”, </w:t>
      </w:r>
      <w:r w:rsidRPr="007B0C1D">
        <w:rPr>
          <w:rFonts w:ascii="Times New Roman" w:hAnsi="Times New Roman" w:cs="Times New Roman"/>
          <w:spacing w:val="-3"/>
          <w:sz w:val="24"/>
          <w:szCs w:val="24"/>
        </w:rPr>
        <w:t>136. maddesinde düzenlenen</w:t>
      </w:r>
      <w:r w:rsidRPr="007B0C1D">
        <w:rPr>
          <w:rFonts w:ascii="Times New Roman" w:hAnsi="Times New Roman" w:cs="Times New Roman"/>
          <w:i/>
          <w:iCs/>
          <w:spacing w:val="-3"/>
          <w:sz w:val="24"/>
          <w:szCs w:val="24"/>
        </w:rPr>
        <w:t xml:space="preserve"> “verileri hukuka aykırı olarak verme veya ele geçirme”</w:t>
      </w:r>
      <w:r w:rsidRPr="007B0C1D">
        <w:rPr>
          <w:rFonts w:ascii="Times New Roman" w:hAnsi="Times New Roman" w:cs="Times New Roman"/>
          <w:spacing w:val="-3"/>
          <w:sz w:val="24"/>
          <w:szCs w:val="24"/>
        </w:rPr>
        <w:t xml:space="preserve"> ve 138. maddesinde düzenlenen </w:t>
      </w:r>
      <w:r w:rsidRPr="007B0C1D">
        <w:rPr>
          <w:rFonts w:ascii="Times New Roman" w:hAnsi="Times New Roman" w:cs="Times New Roman"/>
          <w:i/>
          <w:spacing w:val="-3"/>
          <w:sz w:val="24"/>
          <w:szCs w:val="24"/>
        </w:rPr>
        <w:t>“verileri yok etmeme”</w:t>
      </w:r>
      <w:r w:rsidRPr="007B0C1D">
        <w:rPr>
          <w:rFonts w:ascii="Times New Roman" w:hAnsi="Times New Roman" w:cs="Times New Roman"/>
          <w:spacing w:val="-3"/>
          <w:sz w:val="24"/>
          <w:szCs w:val="24"/>
        </w:rPr>
        <w:t xml:space="preserve"> suçlarından cezalandırılacak ve bu kişilerin cezası TCK’nın 137. maddesi gereğince yarı oranında değil, 5809 sayılı Kanun’un 6/3. maddesi gereğince bir kat arttırılacaktır. </w:t>
      </w:r>
    </w:p>
    <w:p w14:paraId="6DBCC870" w14:textId="77777777" w:rsidR="004D6920" w:rsidRPr="007B0C1D" w:rsidRDefault="004D6920" w:rsidP="004D6920">
      <w:pPr>
        <w:tabs>
          <w:tab w:val="left" w:pos="284"/>
          <w:tab w:val="left" w:pos="560"/>
          <w:tab w:val="left" w:pos="851"/>
          <w:tab w:val="left" w:pos="1120"/>
          <w:tab w:val="left" w:pos="1418"/>
        </w:tabs>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Mevzuattaki bu açık hükümlere rağmen; 5809 sayılı Yasada BTK’ya verilmiş bir yetki olmamasına rağmen, BTK’nın kişisel veri niteliğinde olan ve yasal süresi geçmiş internet trafik kayıtlarını fiilen sakladığı anlaşılmaktadır. </w:t>
      </w:r>
      <w:r w:rsidRPr="007B0C1D">
        <w:rPr>
          <w:rFonts w:ascii="Times New Roman" w:hAnsi="Times New Roman" w:cs="Times New Roman"/>
          <w:spacing w:val="-1"/>
          <w:sz w:val="24"/>
          <w:szCs w:val="24"/>
        </w:rPr>
        <w:t>Bu kayıtlar yargılama makamlarına sunulmakta, bunu yapan kişi ve kurumlar hakkında hiçbir cezai takibatın yapılmamakta, bu şekilde sunulan kayıtların hukuka aykırılık oluşturduğu mahkemeler tarafından dikkate alınmamakta, hukuka aykırı bu bilgiler yargılamalara esas alınmakta ve dosyalara konulmak suretiyle alenileştirilmektedir.</w:t>
      </w:r>
    </w:p>
    <w:p w14:paraId="7E625AA2" w14:textId="77777777" w:rsidR="004D6920" w:rsidRPr="007B0C1D" w:rsidRDefault="004D6920" w:rsidP="004D692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i/>
          <w:sz w:val="24"/>
          <w:szCs w:val="24"/>
        </w:rPr>
      </w:pPr>
      <w:r w:rsidRPr="007B0C1D">
        <w:rPr>
          <w:rFonts w:ascii="Times New Roman" w:hAnsi="Times New Roman" w:cs="Times New Roman"/>
          <w:b/>
          <w:i/>
          <w:sz w:val="24"/>
          <w:szCs w:val="24"/>
        </w:rPr>
        <w:t>g. Sonuç</w:t>
      </w:r>
    </w:p>
    <w:p w14:paraId="1E3BF310"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pacing w:val="-2"/>
          <w:sz w:val="24"/>
          <w:szCs w:val="24"/>
        </w:rPr>
        <w:t xml:space="preserve">Anayasa’nın 38/6. maddesinde, kanuna aykırı elde edilmiş bulguların delil olarak kabul edilemeyeceği; CMK’nın 206/2-a maddesinde de ortaya konulması istenen bir delilin kanuna aykırı olarak elde edilmesi halinde reddolunacağı kurala bağlanmıştır. </w:t>
      </w:r>
      <w:r w:rsidRPr="007B0C1D">
        <w:rPr>
          <w:rFonts w:ascii="Times New Roman" w:hAnsi="Times New Roman" w:cs="Times New Roman"/>
          <w:sz w:val="24"/>
          <w:szCs w:val="24"/>
        </w:rPr>
        <w:t>Yargıtay Ceza Genel Kurulu konuyla ilgili verdiği kararlarında, hakim kararı olmadan gerçekleştirilen aramalar neticesinde elde edilen delillerin hukuka aykırı olduğunu ve hükme esas alınamayacağını,</w:t>
      </w:r>
      <w:r w:rsidRPr="007B0C1D">
        <w:rPr>
          <w:rStyle w:val="DipnotBavurusu"/>
          <w:rFonts w:ascii="Times New Roman" w:hAnsi="Times New Roman"/>
          <w:spacing w:val="-2"/>
          <w:sz w:val="24"/>
          <w:szCs w:val="24"/>
        </w:rPr>
        <w:footnoteReference w:id="9"/>
      </w:r>
      <w:r w:rsidRPr="007B0C1D">
        <w:rPr>
          <w:rFonts w:ascii="Times New Roman" w:hAnsi="Times New Roman" w:cs="Times New Roman"/>
          <w:sz w:val="24"/>
          <w:szCs w:val="24"/>
        </w:rPr>
        <w:t xml:space="preserve"> AYM de hâkim kararı ve Cumhuriyet savcısının yazılı emri olmadan yapılan arama sonucu elde edilen delillere dayanılarak hüküm kurulmasının adil yargılanma hakkının ihlali olduğunu belirtmiştir.</w:t>
      </w:r>
      <w:r w:rsidRPr="007B0C1D">
        <w:rPr>
          <w:rFonts w:ascii="Times New Roman" w:hAnsi="Times New Roman" w:cs="Times New Roman"/>
          <w:sz w:val="24"/>
          <w:szCs w:val="24"/>
          <w:vertAlign w:val="superscript"/>
        </w:rPr>
        <w:footnoteReference w:id="10"/>
      </w:r>
    </w:p>
    <w:p w14:paraId="7CE86A2D" w14:textId="77777777"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Yargıtay 16. Ceza Dairesi’nin Ergenekon davası olarak bilinen dosyayı bozma gerekçesinde, CMK’nın 134. maddesinde düzenlenen bilişim sistemlerinde aramanın ancak verilmiş bir hakim kararıyla mümkün olduğunun altı çizilmiştir. Her ne kadar maddede 25/07/2018 tarihinde değişiklik yapılıp gecikmesinde sakınca bulunan hallerde savcıya da arama kararı verme yetkisi tanınsa da, hem bu kararın verildiği, hem de Bylock bilgilerinin ele geçirildiği tarih itibariyle yalnızca hakim kararıyla sunucuda arama yapılabilmekteydi. </w:t>
      </w:r>
    </w:p>
    <w:p w14:paraId="7B3E377B" w14:textId="3FD02B06" w:rsidR="004D6920" w:rsidRPr="007B0C1D" w:rsidRDefault="004D6920" w:rsidP="004D69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sz w:val="24"/>
          <w:szCs w:val="24"/>
        </w:rPr>
      </w:pPr>
      <w:r w:rsidRPr="007B0C1D">
        <w:rPr>
          <w:rFonts w:ascii="Times New Roman" w:hAnsi="Times New Roman" w:cs="Times New Roman"/>
          <w:sz w:val="24"/>
          <w:szCs w:val="24"/>
        </w:rPr>
        <w:t>Yukarıda açıklanan nedenlerle, Bylock verilerin ele geçirilmesinde yasal şartlara uyulmadığından; bu veriler yasak delildir ve yargılamalarda kullanılamaz. Bu hukuka aykırılık, bahse konu verilere dayanarak başlatılan bütün soruşturma işlemlerini, tanık vb. delileri de hukuka aykırı hale getirmiştir.</w:t>
      </w:r>
      <w:r w:rsidR="008D1C4A" w:rsidRPr="007B0C1D">
        <w:rPr>
          <w:rFonts w:ascii="Times New Roman" w:hAnsi="Times New Roman" w:cs="Times New Roman"/>
          <w:sz w:val="24"/>
          <w:szCs w:val="24"/>
        </w:rPr>
        <w:t xml:space="preserve"> Ayrıca, bilirkişi incelemesi yaptırılmasına ve Bylock verilerinin tarafımıza verilmesine ilişkin talepler silahların eşitliği ve çelişmeli yargılama ilkesine aykırı olarak reddedilmiştir. Suçun unsurlarının varlığı araştırılmadan ve Bylock kullanmak suçun unsuru gibi kabul edilerek yapılan otomatik cezalandırmalar, suç ve cezaların yasallığı ilkesine açıkça aykırıdır.</w:t>
      </w:r>
    </w:p>
    <w:p w14:paraId="22E35DFC" w14:textId="1E33FD93" w:rsidR="004D6920" w:rsidRPr="007B0C1D" w:rsidRDefault="007B0C1D" w:rsidP="004D6920">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jc w:val="both"/>
        <w:rPr>
          <w:rFonts w:ascii="Times New Roman" w:eastAsia="Times New Roman" w:hAnsi="Times New Roman" w:cs="Times New Roman"/>
          <w:b/>
          <w:bCs/>
          <w:sz w:val="24"/>
          <w:szCs w:val="24"/>
          <w:lang w:eastAsia="tr-TR"/>
        </w:rPr>
      </w:pPr>
      <w:r w:rsidRPr="007B0C1D">
        <w:rPr>
          <w:rFonts w:ascii="Times New Roman" w:eastAsia="Times New Roman" w:hAnsi="Times New Roman" w:cs="Times New Roman"/>
          <w:b/>
          <w:bCs/>
          <w:sz w:val="24"/>
          <w:szCs w:val="24"/>
          <w:lang w:eastAsia="tr-TR"/>
        </w:rPr>
        <w:t>3</w:t>
      </w:r>
      <w:r w:rsidR="004D6920" w:rsidRPr="007B0C1D">
        <w:rPr>
          <w:rFonts w:ascii="Times New Roman" w:eastAsia="Times New Roman" w:hAnsi="Times New Roman" w:cs="Times New Roman"/>
          <w:b/>
          <w:bCs/>
          <w:sz w:val="24"/>
          <w:szCs w:val="24"/>
          <w:lang w:eastAsia="tr-TR"/>
        </w:rPr>
        <w:t>) İtirafçı Beyanlarının Mahkumiyete Esas Alınması</w:t>
      </w:r>
    </w:p>
    <w:p w14:paraId="079951A2" w14:textId="77777777" w:rsidR="004D6920" w:rsidRPr="007B0C1D" w:rsidRDefault="004D6920" w:rsidP="004D692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7B0C1D">
        <w:rPr>
          <w:rFonts w:ascii="Times New Roman" w:hAnsi="Times New Roman" w:cs="Times New Roman"/>
          <w:spacing w:val="-1"/>
          <w:sz w:val="24"/>
          <w:szCs w:val="24"/>
        </w:rPr>
        <w:t>Mahkeme</w:t>
      </w:r>
      <w:r w:rsidRPr="007B0C1D">
        <w:rPr>
          <w:rFonts w:ascii="Times New Roman" w:hAnsi="Times New Roman" w:cs="Times New Roman"/>
          <w:sz w:val="24"/>
          <w:szCs w:val="24"/>
        </w:rPr>
        <w:t>, itirafçı tanık/itirafçı gizli tanık beyanlarını silahlı terör örgütü üyeliğinden mahkum edilmeme gerekçe yapmıştır.</w:t>
      </w:r>
    </w:p>
    <w:p w14:paraId="1FDD7976" w14:textId="77777777" w:rsidR="004D6920" w:rsidRPr="007B0C1D" w:rsidRDefault="004D6920" w:rsidP="004D6920">
      <w:pPr>
        <w:tabs>
          <w:tab w:val="left" w:pos="284"/>
          <w:tab w:val="left" w:pos="567"/>
          <w:tab w:val="left" w:pos="851"/>
          <w:tab w:val="left" w:pos="1134"/>
          <w:tab w:val="left" w:pos="1418"/>
        </w:tabs>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Ceza yargılamasında nelerin delil olarak kullanılabileceği ne kadar önemli ise o delilin ispat gücü de bir o kadar önemlidir. Zira her delilin ispat gücü aynı değildir ve her delile aynı değerde itibar edilemez. </w:t>
      </w:r>
      <w:r w:rsidRPr="007B0C1D">
        <w:rPr>
          <w:rFonts w:ascii="Times New Roman" w:hAnsi="Times New Roman" w:cs="Times New Roman"/>
          <w:iCs/>
          <w:sz w:val="24"/>
          <w:szCs w:val="24"/>
        </w:rPr>
        <w:t xml:space="preserve">Bir ifadenin </w:t>
      </w:r>
      <w:r w:rsidRPr="007B0C1D">
        <w:rPr>
          <w:rFonts w:ascii="Times New Roman" w:hAnsi="Times New Roman" w:cs="Times New Roman"/>
          <w:i/>
          <w:iCs/>
          <w:sz w:val="24"/>
          <w:szCs w:val="24"/>
        </w:rPr>
        <w:t>“beyan delili”</w:t>
      </w:r>
      <w:r w:rsidRPr="007B0C1D">
        <w:rPr>
          <w:rFonts w:ascii="Times New Roman" w:hAnsi="Times New Roman" w:cs="Times New Roman"/>
          <w:iCs/>
          <w:sz w:val="24"/>
          <w:szCs w:val="24"/>
        </w:rPr>
        <w:t xml:space="preserve"> kabul edilmesi, yasalarda belirlenen usule göre elde edilmesine bağlıdır. Bu usule uyulmadan, örneğin yetkili olmayan kişilerce alınan ifadeler beyan delili değil, ancak belirti delili olarak kabul edilebilir. </w:t>
      </w:r>
      <w:r w:rsidRPr="007B0C1D">
        <w:rPr>
          <w:rFonts w:ascii="Times New Roman" w:hAnsi="Times New Roman" w:cs="Times New Roman"/>
          <w:sz w:val="24"/>
          <w:szCs w:val="24"/>
        </w:rPr>
        <w:t xml:space="preserve">Burada özellikle üzerinde durulması gereken </w:t>
      </w:r>
      <w:r w:rsidRPr="007B0C1D">
        <w:rPr>
          <w:rFonts w:ascii="Times New Roman" w:hAnsi="Times New Roman" w:cs="Times New Roman"/>
          <w:sz w:val="24"/>
          <w:szCs w:val="24"/>
        </w:rPr>
        <w:lastRenderedPageBreak/>
        <w:t>husus, CMK’nın 148. maddesinde belirtilen yasak usullerle elde edilmiş olan ifadelerin özgür irade ve rıza ile verilmiş olsa dahi hiçbir şekilde delil olarak kullanılamamasıdır.</w:t>
      </w:r>
      <w:r w:rsidRPr="007B0C1D">
        <w:rPr>
          <w:rStyle w:val="DipnotBavurusu"/>
          <w:rFonts w:ascii="Times New Roman" w:hAnsi="Times New Roman"/>
          <w:sz w:val="24"/>
          <w:szCs w:val="24"/>
        </w:rPr>
        <w:footnoteReference w:id="11"/>
      </w:r>
    </w:p>
    <w:p w14:paraId="0E8973E5" w14:textId="77777777" w:rsidR="004D6920" w:rsidRPr="007B0C1D" w:rsidRDefault="004D6920" w:rsidP="004D6920">
      <w:pPr>
        <w:pStyle w:val="DzMetin"/>
        <w:rPr>
          <w:rFonts w:ascii="Times New Roman" w:hAnsi="Times New Roman"/>
          <w:sz w:val="24"/>
          <w:szCs w:val="24"/>
        </w:rPr>
      </w:pPr>
      <w:r w:rsidRPr="007B0C1D">
        <w:rPr>
          <w:rFonts w:ascii="Times New Roman" w:hAnsi="Times New Roman"/>
          <w:sz w:val="24"/>
          <w:szCs w:val="24"/>
        </w:rPr>
        <w:t>Sanık kendi aleyhine beyanda bulunabileceği gibi başkaları aleyhine de beyanda bulunabilir. İkinci durumda bu sanıklara itirafçı, bu ifadelere de itirafçı beyanı denir. İtirafçı ifadeleri de bir beyan delilidir fakat beyan delilleri içinde güven sıralamasında en alt grupta bulunur.</w:t>
      </w:r>
    </w:p>
    <w:p w14:paraId="4A2FCB5E" w14:textId="77777777" w:rsidR="004D6920" w:rsidRPr="007B0C1D" w:rsidRDefault="004D6920" w:rsidP="004D6920">
      <w:pPr>
        <w:pStyle w:val="DzMetin"/>
        <w:rPr>
          <w:rFonts w:ascii="Times New Roman" w:hAnsi="Times New Roman"/>
          <w:sz w:val="24"/>
          <w:szCs w:val="24"/>
        </w:rPr>
      </w:pPr>
      <w:r w:rsidRPr="007B0C1D">
        <w:rPr>
          <w:rFonts w:ascii="Times New Roman" w:hAnsi="Times New Roman"/>
          <w:sz w:val="24"/>
          <w:szCs w:val="24"/>
        </w:rPr>
        <w:t>Tarafsız tanık olarak kabul edilen kişiler, yargılamanın sonucundan hiçbir şekilde etkilenmeyen, olayla ilgisi olmayan, sanık veya mağdurla bağlantısı bulunmayan kişilerdir. Oysa sanık ve mağdur, verilecek karardan bizzat etkilenecek kişilerdir ve bu nedenle beyanlarına daha az itibar edilir. İtirafçı sanık ise bunun da altındadır. Çünkü kendisi de sanıktır ve başkaları aleyhine vereceği ifadeler sonucunda hiç ceza almama veya daha az ceza alma durumu vardır. Hatta bazı suçlarda olduğu gibi ödül alma hakkına bile sahiptir. Bu nedenle itirafçı beyanları en güvenilmez beyanlardır.</w:t>
      </w:r>
    </w:p>
    <w:p w14:paraId="2699B150" w14:textId="77777777" w:rsidR="004D6920" w:rsidRPr="007B0C1D" w:rsidRDefault="004D6920" w:rsidP="004D6920">
      <w:pPr>
        <w:pStyle w:val="DzMetin"/>
        <w:rPr>
          <w:rFonts w:ascii="Times New Roman" w:hAnsi="Times New Roman"/>
          <w:iCs/>
          <w:sz w:val="24"/>
          <w:szCs w:val="24"/>
        </w:rPr>
      </w:pPr>
      <w:r w:rsidRPr="007B0C1D">
        <w:rPr>
          <w:rFonts w:ascii="Times New Roman" w:hAnsi="Times New Roman"/>
          <w:sz w:val="24"/>
          <w:szCs w:val="24"/>
        </w:rPr>
        <w:t>Sanığın kendi aleyhine verdiği beyanın dahi doğrulanması gerekirken, başkaları aleyhine verilen beyanlarla ilgili daha titiz davranılması gerektiği izahtan varestedir.</w:t>
      </w:r>
      <w:r w:rsidRPr="007B0C1D">
        <w:rPr>
          <w:rFonts w:ascii="Times New Roman" w:hAnsi="Times New Roman"/>
          <w:iCs/>
          <w:sz w:val="24"/>
          <w:szCs w:val="24"/>
        </w:rPr>
        <w:t xml:space="preserve"> Yargıtay 16. Ceza Dairesi de konuyla ilgili verdiği bir kararında, itirafçı sanık olup tanık sıfatı ile dinlenen, etkin pişmanlıktan yararlanmak için sanık aleyhine beyanda bulunma hususunda hukuki menfaati olan kişinin anlatımının tek başına hükme esas alınamayacağını belirtmiştir.</w:t>
      </w:r>
      <w:r w:rsidRPr="007B0C1D">
        <w:rPr>
          <w:rStyle w:val="DipnotBavurusu"/>
          <w:rFonts w:ascii="Times New Roman" w:hAnsi="Times New Roman"/>
          <w:iCs/>
          <w:sz w:val="24"/>
          <w:szCs w:val="24"/>
        </w:rPr>
        <w:footnoteReference w:id="12"/>
      </w:r>
      <w:r w:rsidRPr="007B0C1D">
        <w:rPr>
          <w:rFonts w:ascii="Times New Roman" w:hAnsi="Times New Roman"/>
          <w:iCs/>
          <w:sz w:val="24"/>
          <w:szCs w:val="24"/>
        </w:rPr>
        <w:t xml:space="preserve"> </w:t>
      </w:r>
    </w:p>
    <w:p w14:paraId="71340D92" w14:textId="77777777" w:rsidR="004D6920" w:rsidRPr="007B0C1D" w:rsidRDefault="004D6920" w:rsidP="004D6920">
      <w:pPr>
        <w:pStyle w:val="DzMetin"/>
        <w:rPr>
          <w:rFonts w:ascii="Times New Roman" w:hAnsi="Times New Roman"/>
          <w:b/>
          <w:sz w:val="24"/>
          <w:szCs w:val="24"/>
        </w:rPr>
      </w:pPr>
      <w:r w:rsidRPr="007B0C1D">
        <w:rPr>
          <w:rFonts w:ascii="Times New Roman" w:hAnsi="Times New Roman"/>
          <w:sz w:val="24"/>
          <w:szCs w:val="24"/>
        </w:rPr>
        <w:t xml:space="preserve">Kısaca, maddi gerçeği ortaya çıkarmakla yükümlü olan ceza hâkimi, muhakemeye katılanların iddiaları veya sanığın itirafı ile bağlı olmayıp </w:t>
      </w:r>
      <w:r w:rsidRPr="007B0C1D">
        <w:rPr>
          <w:rFonts w:ascii="Times New Roman" w:hAnsi="Times New Roman"/>
          <w:i/>
          <w:sz w:val="24"/>
          <w:szCs w:val="24"/>
        </w:rPr>
        <w:t>“beyan”</w:t>
      </w:r>
      <w:r w:rsidRPr="007B0C1D">
        <w:rPr>
          <w:rFonts w:ascii="Times New Roman" w:hAnsi="Times New Roman"/>
          <w:sz w:val="24"/>
          <w:szCs w:val="24"/>
        </w:rPr>
        <w:t xml:space="preserve"> delilinin mutlaka yan delillerle desteklenmesini aramalıdır ve </w:t>
      </w:r>
      <w:r w:rsidRPr="007B0C1D">
        <w:rPr>
          <w:rFonts w:ascii="Times New Roman" w:hAnsi="Times New Roman"/>
          <w:iCs/>
          <w:sz w:val="24"/>
          <w:szCs w:val="24"/>
        </w:rPr>
        <w:t>Yargıtayın da bu hususa ilişkin istikrar kazanmış pek çok kararı vardır.</w:t>
      </w:r>
      <w:r w:rsidRPr="007B0C1D">
        <w:rPr>
          <w:rStyle w:val="DipnotBavurusu"/>
          <w:rFonts w:ascii="Times New Roman" w:hAnsi="Times New Roman"/>
          <w:iCs/>
          <w:sz w:val="24"/>
          <w:szCs w:val="24"/>
        </w:rPr>
        <w:footnoteReference w:id="13"/>
      </w:r>
      <w:r w:rsidRPr="007B0C1D">
        <w:rPr>
          <w:rFonts w:ascii="Times New Roman" w:hAnsi="Times New Roman"/>
          <w:iCs/>
          <w:sz w:val="24"/>
          <w:szCs w:val="24"/>
        </w:rPr>
        <w:t xml:space="preserve"> </w:t>
      </w:r>
    </w:p>
    <w:p w14:paraId="74F98D20" w14:textId="77777777" w:rsidR="004D6920" w:rsidRPr="007B0C1D" w:rsidRDefault="004D6920" w:rsidP="004D6920">
      <w:pPr>
        <w:pStyle w:val="hvl-default"/>
        <w:jc w:val="both"/>
        <w:rPr>
          <w:rFonts w:cs="Times New Roman"/>
          <w:lang w:val="tr-TR"/>
        </w:rPr>
      </w:pPr>
      <w:r w:rsidRPr="007B0C1D">
        <w:rPr>
          <w:rFonts w:cs="Times New Roman"/>
          <w:lang w:val="tr-TR"/>
        </w:rPr>
        <w:t xml:space="preserve">Burada Yargıtayın aradığı yan delil başka bir beyan delili değildir. Yani bir beyan delili başka bir beyan delili ile desteklenemez. Yan delil, </w:t>
      </w:r>
      <w:r w:rsidRPr="007B0C1D">
        <w:rPr>
          <w:rFonts w:cs="Times New Roman"/>
          <w:i/>
          <w:lang w:val="tr-TR"/>
        </w:rPr>
        <w:t>“belge veya belirti”</w:t>
      </w:r>
      <w:r w:rsidRPr="007B0C1D">
        <w:rPr>
          <w:rFonts w:cs="Times New Roman"/>
          <w:lang w:val="tr-TR"/>
        </w:rPr>
        <w:t xml:space="preserve"> delili denilen maddi delildir</w:t>
      </w:r>
      <w:r w:rsidRPr="007B0C1D">
        <w:rPr>
          <w:rStyle w:val="DipnotBavurusu"/>
          <w:rFonts w:ascii="Times New Roman" w:hAnsi="Times New Roman"/>
          <w:lang w:val="tr-TR"/>
        </w:rPr>
        <w:footnoteReference w:id="14"/>
      </w:r>
      <w:r w:rsidRPr="007B0C1D">
        <w:rPr>
          <w:rFonts w:cs="Times New Roman"/>
          <w:lang w:val="tr-TR"/>
        </w:rPr>
        <w:t xml:space="preserve">. Yani beyan delili mutlaka maddi bir delille doğrulanmalıdır. Ayrıca, sanığa atılı suçun unsurlarını göstermeyen hususlar (yasal ve rutin faaliyetler) yan delil olarak kabul edilemez. </w:t>
      </w:r>
    </w:p>
    <w:p w14:paraId="24A804D4" w14:textId="77777777" w:rsidR="004D6920" w:rsidRPr="007B0C1D" w:rsidRDefault="004D6920" w:rsidP="004D6920">
      <w:pPr>
        <w:pStyle w:val="hvl-default"/>
        <w:jc w:val="both"/>
        <w:rPr>
          <w:rFonts w:cs="Times New Roman"/>
          <w:b/>
          <w:lang w:val="tr-TR"/>
        </w:rPr>
      </w:pPr>
      <w:r w:rsidRPr="007B0C1D">
        <w:rPr>
          <w:rFonts w:cs="Times New Roman"/>
          <w:iCs/>
          <w:lang w:val="tr-TR"/>
        </w:rPr>
        <w:t>Beyan delilinin bölünmesi konusunda da hata yapılmaktadır. Beyan delili bölünebilirdir.</w:t>
      </w:r>
      <w:r w:rsidRPr="007B0C1D">
        <w:rPr>
          <w:rStyle w:val="DipnotBavurusu"/>
          <w:rFonts w:ascii="Times New Roman" w:hAnsi="Times New Roman"/>
          <w:iCs/>
          <w:lang w:val="tr-TR"/>
        </w:rPr>
        <w:footnoteReference w:id="15"/>
      </w:r>
      <w:r w:rsidRPr="007B0C1D">
        <w:rPr>
          <w:rFonts w:cs="Times New Roman"/>
          <w:iCs/>
          <w:lang w:val="tr-TR"/>
        </w:rPr>
        <w:t xml:space="preserve"> Ancak, mevcut durum itibariyle bir itirafçı çok sayıda kişi hakkında iddialarda bulunmuş ve birinde isabet etmişse, bu itirafçı doğru söylüyor denilerek diğer kişiler hakkındaki iddialar da doğru kabul edilmektedir. Diğer bir deyişle, beyan bölünmeden tümüyle doğru varsayılmaktadır.</w:t>
      </w:r>
    </w:p>
    <w:p w14:paraId="5CCE0AC3" w14:textId="33240331" w:rsidR="004D6920" w:rsidRPr="007B0C1D" w:rsidRDefault="004D6920" w:rsidP="004D6920">
      <w:pPr>
        <w:pStyle w:val="DzMetin"/>
        <w:rPr>
          <w:rFonts w:ascii="Times New Roman" w:hAnsi="Times New Roman"/>
          <w:sz w:val="24"/>
          <w:szCs w:val="24"/>
        </w:rPr>
      </w:pPr>
      <w:r w:rsidRPr="007B0C1D">
        <w:rPr>
          <w:rFonts w:ascii="Times New Roman" w:hAnsi="Times New Roman"/>
          <w:sz w:val="24"/>
          <w:szCs w:val="24"/>
        </w:rPr>
        <w:t>Son olarak, bu tür ifadeleri veren itirafçılar dahi cemaatin bir terör örgütü ol</w:t>
      </w:r>
      <w:r w:rsidR="00BE0D6F" w:rsidRPr="007B0C1D">
        <w:rPr>
          <w:rFonts w:ascii="Times New Roman" w:hAnsi="Times New Roman"/>
          <w:sz w:val="24"/>
          <w:szCs w:val="24"/>
        </w:rPr>
        <w:t>madığını</w:t>
      </w:r>
      <w:r w:rsidRPr="007B0C1D">
        <w:rPr>
          <w:rFonts w:ascii="Times New Roman" w:hAnsi="Times New Roman"/>
          <w:sz w:val="24"/>
          <w:szCs w:val="24"/>
        </w:rPr>
        <w:t>, aleyhine ifade verdikleri kişilerin Yargıtay’ca Cemaatin amaç suçu kabul edilen darbe teşebbüsünden habersiz olduklarını ve suçlamaya dayanak yapılan faaliyetlerin bir cemaat faaliyeti olarak bildikleri söylemekteyken, aleyhine ifade verilen kişilerin bunları terör faaliyeti kapsamında yaptıklarını kabul etmek akla ve hukuka aykırıdır. Kaldı ki, ortada ne bir silahlı örgüt, ne de örgütsel faaliyet vardır. Yargılama konusu hususlar yasal ve rutin faaliyetler ve cemaat mensubiyetidir. Cemaat mensubiyeti ise kesinlikle suç değildir.</w:t>
      </w:r>
      <w:r w:rsidR="008D1C4A" w:rsidRPr="007B0C1D">
        <w:rPr>
          <w:rFonts w:ascii="Times New Roman" w:hAnsi="Times New Roman"/>
          <w:sz w:val="24"/>
          <w:szCs w:val="24"/>
        </w:rPr>
        <w:t xml:space="preserve"> Yasal ve rutin faaliyetlere işaret eden ve suçun unsurlarına karşılık gelmeyen tanık beyanlarının bir delil değil de suçun unsuru gibi kabul edilerek, yani suçun unsurlarının yerine ikame edilmesi suç ve cezaların yasallığı ilkesine de aykırıdır.</w:t>
      </w:r>
    </w:p>
    <w:p w14:paraId="677FBB32" w14:textId="77777777" w:rsidR="004D6920" w:rsidRPr="007B0C1D" w:rsidRDefault="004D6920" w:rsidP="008D1C4A">
      <w:pPr>
        <w:pStyle w:val="DzMetin"/>
        <w:rPr>
          <w:rFonts w:ascii="Times New Roman" w:hAnsi="Times New Roman"/>
          <w:sz w:val="24"/>
          <w:szCs w:val="24"/>
        </w:rPr>
      </w:pPr>
      <w:r w:rsidRPr="007B0C1D">
        <w:rPr>
          <w:rFonts w:ascii="Times New Roman" w:hAnsi="Times New Roman"/>
          <w:sz w:val="24"/>
          <w:szCs w:val="24"/>
        </w:rPr>
        <w:t>Somut yargılamada, tanığın itirafçı olduğu ve suçlamada bulunmakta menfaati olduğu niteliği değerlendirmemiş ve bu kişinin/kişilerin beyanlarına dayalı mahkumiyet hükmü verilmiştir.</w:t>
      </w:r>
      <w:r w:rsidRPr="007B0C1D">
        <w:rPr>
          <w:rStyle w:val="DipnotBavurusu"/>
          <w:rFonts w:ascii="Times New Roman" w:hAnsi="Times New Roman"/>
          <w:sz w:val="24"/>
          <w:szCs w:val="24"/>
        </w:rPr>
        <w:footnoteReference w:id="16"/>
      </w:r>
    </w:p>
    <w:p w14:paraId="34D50ED4" w14:textId="2A3D5DA2" w:rsidR="00BB0613" w:rsidRPr="007B0C1D" w:rsidRDefault="00111DD6" w:rsidP="008D1C4A">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outlineLvl w:val="0"/>
        <w:rPr>
          <w:rFonts w:ascii="Times New Roman" w:hAnsi="Times New Roman" w:cs="Times New Roman"/>
          <w:b/>
          <w:sz w:val="24"/>
          <w:szCs w:val="24"/>
        </w:rPr>
      </w:pPr>
      <w:r w:rsidRPr="007B0C1D">
        <w:rPr>
          <w:rFonts w:ascii="Times New Roman" w:hAnsi="Times New Roman" w:cs="Times New Roman"/>
          <w:b/>
          <w:sz w:val="24"/>
          <w:szCs w:val="24"/>
        </w:rPr>
        <w:lastRenderedPageBreak/>
        <w:t>4) Garson İsimli Gizli Tanıktan Ele Geçirilen SD Kart B</w:t>
      </w:r>
      <w:r w:rsidR="0036396A" w:rsidRPr="007B0C1D">
        <w:rPr>
          <w:rFonts w:ascii="Times New Roman" w:hAnsi="Times New Roman" w:cs="Times New Roman"/>
          <w:b/>
          <w:sz w:val="24"/>
          <w:szCs w:val="24"/>
        </w:rPr>
        <w:t>ilgiler</w:t>
      </w:r>
      <w:r w:rsidRPr="007B0C1D">
        <w:rPr>
          <w:rFonts w:ascii="Times New Roman" w:hAnsi="Times New Roman" w:cs="Times New Roman"/>
          <w:b/>
          <w:sz w:val="24"/>
          <w:szCs w:val="24"/>
        </w:rPr>
        <w:t>inin Mahkumiyete Esas Alınması</w:t>
      </w:r>
    </w:p>
    <w:p w14:paraId="6CA6BBBF" w14:textId="0F2A43BE" w:rsidR="00BB0613" w:rsidRPr="007B0C1D" w:rsidRDefault="0036396A" w:rsidP="008D1C4A">
      <w:pPr>
        <w:pStyle w:val="DzMetin"/>
        <w:rPr>
          <w:rFonts w:ascii="Times New Roman" w:hAnsi="Times New Roman"/>
          <w:sz w:val="24"/>
          <w:szCs w:val="24"/>
          <w:shd w:val="clear" w:color="auto" w:fill="FFFFFF"/>
        </w:rPr>
      </w:pPr>
      <w:r w:rsidRPr="007B0C1D">
        <w:rPr>
          <w:rFonts w:ascii="Times New Roman" w:hAnsi="Times New Roman"/>
          <w:sz w:val="24"/>
          <w:szCs w:val="24"/>
          <w:shd w:val="clear" w:color="auto" w:fill="FFFFFF"/>
        </w:rPr>
        <w:t xml:space="preserve">Garson isimli gizli tanık, içerisinde Emniyet personeline ait bilgilerin olduğu 2 adet SD kartı 18/4/2017’de Ankara Başsavcılığına teslim etmiş, aynı gün savcılık el koyma ve inceleme (imaj) talebinde bulunulmuş ve bu talep sulh ceza hakimliği tarafından kabul edilmiştir. Bu karar üzerine SD kartların imajı 19/4/2017 tarihinde alınmıştır. Ancak, 21/4/2017 tarihinde Başsavcılık hiç bir gerekçe ve sebep göstermeden, el konulan SD kartlara “FİZİKİ MÜDAHALEDE BULUNULMASI” talebinde bulunmuş ve bu talep de 24/4/2017 tarihinde Ankara 7. Sulh Ceza Hakimliğinin 2017/3129 D. İş sayılı kararıyla kabul edilmiştir. SD kartlara fiziki müdahaleyle neyin amaçlandığı ve niçin böyle bir müdahaleye ihtiyaç duyulduğu açıklanmasa da, böyle bir talepte bulunulması, el konulan SD kartların delil değeri ile ilgili ciddi şüphelere neden olmuştur. Zira dijital materyalin imajı alınabiliyorsa fiziki müdahaleye gerek yoktur. </w:t>
      </w:r>
      <w:r w:rsidR="008D1C4A" w:rsidRPr="007B0C1D">
        <w:rPr>
          <w:rFonts w:ascii="Times New Roman" w:hAnsi="Times New Roman"/>
          <w:sz w:val="24"/>
          <w:szCs w:val="24"/>
          <w:shd w:val="clear" w:color="auto" w:fill="FFFFFF"/>
        </w:rPr>
        <w:t xml:space="preserve">Ayrıca, CMK’da dijital materyale fiziki müdahalede bulunulabileceğine ilişki bir düzenleme yoktur ve bu müdahale açıkça hukuka aykırı ve kanunun vermediği bir yetkinin kullanılmasıdır. Dijital veriye yapılan müdahale delilin veri bütünlüğünü bozmuş ve hukuka aykırı hale getirmiştir. </w:t>
      </w:r>
    </w:p>
    <w:p w14:paraId="537D7B55" w14:textId="77777777" w:rsidR="00BB0613" w:rsidRPr="007B0C1D" w:rsidRDefault="0036396A" w:rsidP="008D1C4A">
      <w:pPr>
        <w:tabs>
          <w:tab w:val="left" w:pos="1080"/>
        </w:tabs>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shd w:val="clear" w:color="auto" w:fill="FFFFFF"/>
        </w:rPr>
        <w:t xml:space="preserve">Eğer imajı alınan SD kartlar üzerinde 2 gün sonra fiziki müdahaleye ihtiyaç duyuluyorsa, o zaman SD kartlarda maddi bir hasar meydana gelmiştir. Fiziki müdahaleyi gerektiren problem 19 Nisan’da mevcutsa neden 21 Nisan’a kadar beklenmiş, ya da bu problem 21 Nisan’da ortaya çıktıysa 2 gün boyunca SD kartlar üzerinde hangi çalışmalar yapılmıştır? </w:t>
      </w:r>
      <w:r w:rsidRPr="007B0C1D">
        <w:rPr>
          <w:rFonts w:ascii="Times New Roman" w:hAnsi="Times New Roman" w:cs="Times New Roman"/>
          <w:sz w:val="24"/>
          <w:szCs w:val="24"/>
        </w:rPr>
        <w:t>Ayrıca, yapılacak çalışmanın alınan imaj (kopya) üzerinde yapılması ve fiziki bir müdahale gerekiyorsa, bunun da alınan imaj üzerinde gerçekleştirilmesi gerekirken, neden alınan imajlar da değil de ana delil olan SD kartlar üzerinde fiziki müdahale talep edilmiştir? Fiziki müdahaleden sonra SD kartların imajı tekrar alınmış mıdır? Alındıysa neden bana ya da vekilime verilmemiş ve dosyama gönderilmemiştir? Bu sorularla ilgili en mantıklı cevap; imaj alındıktan sonra çalışma yapılırken şifreleme sistemi ya da başka bir sebeple bilgilere ulaşılamaması nedeniyle, kartlara fiziki müdahalede bulunulduğu ve bu müdahalenin anlaşılması halinde delilin hukuka aykırılığının ileri sürüleceği bilindiğinden sonradan hakim kararı alındığıdır.</w:t>
      </w:r>
    </w:p>
    <w:p w14:paraId="0FF149EB" w14:textId="77777777" w:rsidR="00BB0613" w:rsidRPr="007B0C1D" w:rsidRDefault="0036396A">
      <w:pPr>
        <w:tabs>
          <w:tab w:val="left" w:pos="1080"/>
        </w:tabs>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Burada soru işaretlerine neden olan bir diğer husus, 24/4/2017’de fiziki müdahale talebinde bulunma kararı alındıktan 2 gün sonra 9103 emniyet görevlisinin görevden uzaklaştırılmasına rağmen, elde edilen SD kartların incelemesinin 05/06/2018 tarihinde bitirilmiş olmasıdır. Fiziki müdahale kararından 2 gün sonra bu kadar çok sayıda kişiyle ilgili bilgi elde edilebiliyorsa, SD kartların incelemesi neden 14 ay sürmüştür? Bu sorunun cevabı da benimle ya da müdafiimle paylaşılmadığından, akla gelen ilk husus, önceden hazırlanan fişleme listelerinin Garson’dan elde edilen SD kartlara eklendiği ve fiziki müdahale kararı alınmak suretiyle bu müdahalenin hukuka uygun hale getirilmeye çalışıldığıdır. Benzer şekilde, Garson fişlemelerine ilişkin SD kartların imajları hiç bir şekilde tarafıma verilmediğinden, verilerin gerçeği yansıtmadığı iddialarını değerlendirmek üzere bu veri ve bilgilerle ilgili CMK’nın 67. maddesi gereğince bilirkişi ya da uzman görüşü aldırma imkanım elimden alınmıştır. Oysaki Yargıtay 16. Ceza Dairesi, mahkemenin aldırdığı bilirkişi raporu ile dosyaya sunulan uzman görüşü arasındaki çelişkiyi bozma sebebi saymakta ve aradaki çelişkiyi giderici bilirkişi raporu aldırılmasını zorunlu kabul etmektedir.</w:t>
      </w:r>
      <w:r w:rsidRPr="007B0C1D">
        <w:rPr>
          <w:rStyle w:val="DipnotBavurusu"/>
          <w:rFonts w:ascii="Times New Roman" w:hAnsi="Times New Roman"/>
          <w:sz w:val="24"/>
          <w:szCs w:val="24"/>
        </w:rPr>
        <w:footnoteReference w:id="17"/>
      </w:r>
      <w:r w:rsidRPr="007B0C1D">
        <w:rPr>
          <w:rFonts w:ascii="Times New Roman" w:hAnsi="Times New Roman" w:cs="Times New Roman"/>
          <w:sz w:val="24"/>
          <w:szCs w:val="24"/>
        </w:rPr>
        <w:t xml:space="preserve"> Yani, bu verilerle ilgili her hangi bir bilirkişi raporu da aldırılmamış ve emniyet personelince hazırlanan </w:t>
      </w:r>
      <w:r w:rsidRPr="007B0C1D">
        <w:rPr>
          <w:rFonts w:ascii="Times New Roman" w:hAnsi="Times New Roman" w:cs="Times New Roman"/>
          <w:i/>
          <w:sz w:val="24"/>
          <w:szCs w:val="24"/>
        </w:rPr>
        <w:t>“inceleme raporu”</w:t>
      </w:r>
      <w:r w:rsidRPr="007B0C1D">
        <w:rPr>
          <w:rFonts w:ascii="Times New Roman" w:hAnsi="Times New Roman" w:cs="Times New Roman"/>
          <w:sz w:val="24"/>
          <w:szCs w:val="24"/>
        </w:rPr>
        <w:t>ndaki bilgiler doğru kabul edilerek cezalandırmama gerekçe yapılmıştır. Ancak Anayasa Mahkemesi, Balyoz ve İstanbul casusluk davası sanıklarının adil yargılanma haklarının ihlaline tam da bu sebeple karar vermiştir.</w:t>
      </w:r>
      <w:r w:rsidRPr="007B0C1D">
        <w:rPr>
          <w:rStyle w:val="DipnotBavurusu"/>
          <w:rFonts w:ascii="Times New Roman" w:hAnsi="Times New Roman"/>
          <w:sz w:val="24"/>
          <w:szCs w:val="24"/>
        </w:rPr>
        <w:footnoteReference w:id="18"/>
      </w:r>
    </w:p>
    <w:p w14:paraId="36AD6E46" w14:textId="77777777" w:rsidR="00BB0613" w:rsidRPr="007B0C1D" w:rsidRDefault="0036396A">
      <w:pPr>
        <w:tabs>
          <w:tab w:val="left" w:pos="1080"/>
        </w:tabs>
        <w:spacing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Kısaca, dijital materyale fiziki müdahaleyi gerektirecek ciddiyette bir hasar söz konusuysa, bu durum imajın alınmasından 2 gün sonra ortaya çıkıyorsa SD kart verilerinin bütünlüğü bozulmuştur ve veri bütünlüğü bozulan bilginin yargılamada kullanılabilmesi mümkün değildir. Yine, dijital delil CMK anlamında ikincil nitelikli ve </w:t>
      </w:r>
      <w:r w:rsidRPr="007B0C1D">
        <w:rPr>
          <w:rFonts w:ascii="Times New Roman" w:hAnsi="Times New Roman" w:cs="Times New Roman"/>
          <w:i/>
          <w:sz w:val="24"/>
          <w:szCs w:val="24"/>
        </w:rPr>
        <w:t>“son çare”</w:t>
      </w:r>
      <w:r w:rsidRPr="007B0C1D">
        <w:rPr>
          <w:rFonts w:ascii="Times New Roman" w:hAnsi="Times New Roman" w:cs="Times New Roman"/>
          <w:sz w:val="24"/>
          <w:szCs w:val="24"/>
        </w:rPr>
        <w:t xml:space="preserve"> delilidir. Bu delillerin mutlaka </w:t>
      </w:r>
      <w:r w:rsidRPr="007B0C1D">
        <w:rPr>
          <w:rFonts w:ascii="Times New Roman" w:hAnsi="Times New Roman" w:cs="Times New Roman"/>
          <w:sz w:val="24"/>
          <w:szCs w:val="24"/>
        </w:rPr>
        <w:lastRenderedPageBreak/>
        <w:t xml:space="preserve">birincil nitelikli (tanık, somut bilgi, belge) delillerle desteklemesi gerekir. Fiziki müdahale sonucu elde edilen bir delil, en fazla Hukuk Muhakemeleri Kanunu’ndaki </w:t>
      </w:r>
      <w:r w:rsidRPr="007B0C1D">
        <w:rPr>
          <w:rFonts w:ascii="Times New Roman" w:hAnsi="Times New Roman" w:cs="Times New Roman"/>
          <w:i/>
          <w:sz w:val="24"/>
          <w:szCs w:val="24"/>
        </w:rPr>
        <w:t>“delil başlangıcı”</w:t>
      </w:r>
      <w:r w:rsidRPr="007B0C1D">
        <w:rPr>
          <w:rFonts w:ascii="Times New Roman" w:hAnsi="Times New Roman" w:cs="Times New Roman"/>
          <w:sz w:val="24"/>
          <w:szCs w:val="24"/>
        </w:rPr>
        <w:t xml:space="preserve"> gibi değerlendirilebilir ve bu da ancak istihbari bilgi ve veri olarak kabul edilebilir. Fakat istihbari bilgilerin CMK anlamında delil olarak kabulü mümkün değildir. Kısaca, Garson fişlemeleri hukuka aykırı delildir ve yargılamalar da kullanılabilmesi mümkün değildir. Kullanılması suretiyle adil yargılanma ve özel yaşama saygı haklarım ihlal edilmiştir.</w:t>
      </w:r>
    </w:p>
    <w:p w14:paraId="2EE407A9" w14:textId="77777777" w:rsidR="00B95C04" w:rsidRPr="007B0C1D" w:rsidRDefault="00C17692" w:rsidP="00B95C04">
      <w:pPr>
        <w:tabs>
          <w:tab w:val="left" w:pos="1080"/>
        </w:tabs>
        <w:spacing w:after="100" w:line="240" w:lineRule="auto"/>
        <w:jc w:val="both"/>
        <w:rPr>
          <w:rStyle w:val="dairekarari"/>
          <w:rFonts w:ascii="Times New Roman" w:hAnsi="Times New Roman" w:cs="Times New Roman"/>
          <w:bCs/>
          <w:color w:val="000000"/>
          <w:sz w:val="24"/>
          <w:szCs w:val="24"/>
          <w:shd w:val="clear" w:color="auto" w:fill="FFFFFF"/>
        </w:rPr>
      </w:pPr>
      <w:r w:rsidRPr="007B0C1D">
        <w:rPr>
          <w:rFonts w:ascii="Times New Roman" w:hAnsi="Times New Roman" w:cs="Times New Roman"/>
          <w:sz w:val="24"/>
          <w:szCs w:val="24"/>
        </w:rPr>
        <w:t>Ayrıca, talebimize rağmen Garson isimli gizli tanık duruşmaya getirilmemiş, başka soruşturma ve kovuşturmalarda verdiği ifadelerin okunmasıyla yetinilmiştir.</w:t>
      </w:r>
      <w:r w:rsidR="00B42CF8" w:rsidRPr="007B0C1D">
        <w:rPr>
          <w:rFonts w:ascii="Times New Roman" w:hAnsi="Times New Roman" w:cs="Times New Roman"/>
          <w:sz w:val="24"/>
          <w:szCs w:val="24"/>
        </w:rPr>
        <w:t xml:space="preserve"> Bu ifadeler ve SD karttan çıkan bilgiler çelişkilerle doludur.</w:t>
      </w:r>
      <w:r w:rsidR="00B42CF8" w:rsidRPr="007B0C1D">
        <w:rPr>
          <w:rStyle w:val="DipnotBavurusu"/>
          <w:rFonts w:ascii="Times New Roman" w:hAnsi="Times New Roman"/>
          <w:sz w:val="24"/>
          <w:szCs w:val="24"/>
        </w:rPr>
        <w:footnoteReference w:id="19"/>
      </w:r>
      <w:r w:rsidRPr="007B0C1D">
        <w:rPr>
          <w:rFonts w:ascii="Times New Roman" w:hAnsi="Times New Roman" w:cs="Times New Roman"/>
          <w:sz w:val="24"/>
          <w:szCs w:val="24"/>
        </w:rPr>
        <w:t xml:space="preserve"> Bu nedenle, tanığa soru sorma, çelişkileri ortadan kaldırma ve tanığın inandırıcılığını ve güvenilirliğini mahkeme huzurunda sorgulama ve lehime sonuç çıkarma imkanı elimden alınmıştır.</w:t>
      </w:r>
      <w:r w:rsidRPr="007B0C1D">
        <w:rPr>
          <w:rFonts w:ascii="Times New Roman" w:hAnsi="Times New Roman" w:cs="Times New Roman"/>
          <w:bCs/>
          <w:color w:val="000000"/>
          <w:sz w:val="24"/>
          <w:szCs w:val="24"/>
          <w:shd w:val="clear" w:color="auto" w:fill="FFFFFF"/>
        </w:rPr>
        <w:t xml:space="preserve"> M</w:t>
      </w:r>
      <w:r w:rsidRPr="007B0C1D">
        <w:rPr>
          <w:rStyle w:val="dairekarari"/>
          <w:rFonts w:ascii="Times New Roman" w:hAnsi="Times New Roman" w:cs="Times New Roman"/>
          <w:bCs/>
          <w:color w:val="000000"/>
          <w:sz w:val="24"/>
          <w:szCs w:val="24"/>
          <w:shd w:val="clear" w:color="auto" w:fill="FFFFFF"/>
        </w:rPr>
        <w:t>ahkûmiyetime karar verilirken diğer hususlarla birlikte, belirleyici ölçüde gizli tanığın ifadesine dayanılması sebebiyle</w:t>
      </w:r>
      <w:r w:rsidR="00ED281E" w:rsidRPr="007B0C1D">
        <w:rPr>
          <w:rStyle w:val="dairekarari"/>
          <w:rFonts w:ascii="Times New Roman" w:hAnsi="Times New Roman" w:cs="Times New Roman"/>
          <w:bCs/>
          <w:color w:val="000000"/>
          <w:sz w:val="24"/>
          <w:szCs w:val="24"/>
          <w:shd w:val="clear" w:color="auto" w:fill="FFFFFF"/>
        </w:rPr>
        <w:t xml:space="preserve"> </w:t>
      </w:r>
      <w:r w:rsidRPr="007B0C1D">
        <w:rPr>
          <w:rStyle w:val="dairekarari"/>
          <w:rFonts w:ascii="Times New Roman" w:hAnsi="Times New Roman" w:cs="Times New Roman"/>
          <w:bCs/>
          <w:color w:val="000000"/>
          <w:sz w:val="24"/>
          <w:szCs w:val="24"/>
          <w:shd w:val="clear" w:color="auto" w:fill="FFFFFF"/>
        </w:rPr>
        <w:t>gizli tanığın menfaatleri</w:t>
      </w:r>
      <w:r w:rsidR="00B42CF8" w:rsidRPr="007B0C1D">
        <w:rPr>
          <w:rStyle w:val="dairekarari"/>
          <w:rFonts w:ascii="Times New Roman" w:hAnsi="Times New Roman" w:cs="Times New Roman"/>
          <w:bCs/>
          <w:color w:val="000000"/>
          <w:sz w:val="24"/>
          <w:szCs w:val="24"/>
          <w:shd w:val="clear" w:color="auto" w:fill="FFFFFF"/>
        </w:rPr>
        <w:t xml:space="preserve"> i</w:t>
      </w:r>
      <w:r w:rsidRPr="007B0C1D">
        <w:rPr>
          <w:rStyle w:val="dairekarari"/>
          <w:rFonts w:ascii="Times New Roman" w:hAnsi="Times New Roman" w:cs="Times New Roman"/>
          <w:bCs/>
          <w:color w:val="000000"/>
          <w:sz w:val="24"/>
          <w:szCs w:val="24"/>
          <w:shd w:val="clear" w:color="auto" w:fill="FFFFFF"/>
        </w:rPr>
        <w:t>le hakları</w:t>
      </w:r>
      <w:r w:rsidR="00B42CF8" w:rsidRPr="007B0C1D">
        <w:rPr>
          <w:rStyle w:val="dairekarari"/>
          <w:rFonts w:ascii="Times New Roman" w:hAnsi="Times New Roman" w:cs="Times New Roman"/>
          <w:bCs/>
          <w:color w:val="000000"/>
          <w:sz w:val="24"/>
          <w:szCs w:val="24"/>
          <w:shd w:val="clear" w:color="auto" w:fill="FFFFFF"/>
        </w:rPr>
        <w:t>m</w:t>
      </w:r>
      <w:r w:rsidRPr="007B0C1D">
        <w:rPr>
          <w:rStyle w:val="dairekarari"/>
          <w:rFonts w:ascii="Times New Roman" w:hAnsi="Times New Roman" w:cs="Times New Roman"/>
          <w:bCs/>
          <w:color w:val="000000"/>
          <w:sz w:val="24"/>
          <w:szCs w:val="24"/>
          <w:shd w:val="clear" w:color="auto" w:fill="FFFFFF"/>
        </w:rPr>
        <w:t xml:space="preserve"> arasında silahların eşitliğine yönelik denge unsur</w:t>
      </w:r>
      <w:r w:rsidR="00B42CF8" w:rsidRPr="007B0C1D">
        <w:rPr>
          <w:rStyle w:val="dairekarari"/>
          <w:rFonts w:ascii="Times New Roman" w:hAnsi="Times New Roman" w:cs="Times New Roman"/>
          <w:bCs/>
          <w:color w:val="000000"/>
          <w:sz w:val="24"/>
          <w:szCs w:val="24"/>
          <w:shd w:val="clear" w:color="auto" w:fill="FFFFFF"/>
        </w:rPr>
        <w:t>u</w:t>
      </w:r>
      <w:r w:rsidRPr="007B0C1D">
        <w:rPr>
          <w:rStyle w:val="dairekarari"/>
          <w:rFonts w:ascii="Times New Roman" w:hAnsi="Times New Roman" w:cs="Times New Roman"/>
          <w:bCs/>
          <w:color w:val="000000"/>
          <w:sz w:val="24"/>
          <w:szCs w:val="24"/>
          <w:shd w:val="clear" w:color="auto" w:fill="FFFFFF"/>
        </w:rPr>
        <w:t xml:space="preserve"> gözetilme</w:t>
      </w:r>
      <w:r w:rsidR="00B42CF8" w:rsidRPr="007B0C1D">
        <w:rPr>
          <w:rStyle w:val="dairekarari"/>
          <w:rFonts w:ascii="Times New Roman" w:hAnsi="Times New Roman" w:cs="Times New Roman"/>
          <w:bCs/>
          <w:color w:val="000000"/>
          <w:sz w:val="24"/>
          <w:szCs w:val="24"/>
          <w:shd w:val="clear" w:color="auto" w:fill="FFFFFF"/>
        </w:rPr>
        <w:t>diğinden</w:t>
      </w:r>
      <w:r w:rsidRPr="007B0C1D">
        <w:rPr>
          <w:rStyle w:val="dairekarari"/>
          <w:rFonts w:ascii="Times New Roman" w:hAnsi="Times New Roman" w:cs="Times New Roman"/>
          <w:bCs/>
          <w:color w:val="000000"/>
          <w:sz w:val="24"/>
          <w:szCs w:val="24"/>
          <w:shd w:val="clear" w:color="auto" w:fill="FFFFFF"/>
        </w:rPr>
        <w:t xml:space="preserve"> savunma ve adil yargılanma hakları</w:t>
      </w:r>
      <w:r w:rsidR="00B42CF8" w:rsidRPr="007B0C1D">
        <w:rPr>
          <w:rStyle w:val="dairekarari"/>
          <w:rFonts w:ascii="Times New Roman" w:hAnsi="Times New Roman" w:cs="Times New Roman"/>
          <w:bCs/>
          <w:color w:val="000000"/>
          <w:sz w:val="24"/>
          <w:szCs w:val="24"/>
          <w:shd w:val="clear" w:color="auto" w:fill="FFFFFF"/>
        </w:rPr>
        <w:t>m</w:t>
      </w:r>
      <w:r w:rsidRPr="007B0C1D">
        <w:rPr>
          <w:rStyle w:val="dairekarari"/>
          <w:rFonts w:ascii="Times New Roman" w:hAnsi="Times New Roman" w:cs="Times New Roman"/>
          <w:bCs/>
          <w:color w:val="000000"/>
          <w:sz w:val="24"/>
          <w:szCs w:val="24"/>
          <w:shd w:val="clear" w:color="auto" w:fill="FFFFFF"/>
        </w:rPr>
        <w:t xml:space="preserve"> ihlâl edil</w:t>
      </w:r>
      <w:r w:rsidR="00B42CF8" w:rsidRPr="007B0C1D">
        <w:rPr>
          <w:rStyle w:val="dairekarari"/>
          <w:rFonts w:ascii="Times New Roman" w:hAnsi="Times New Roman" w:cs="Times New Roman"/>
          <w:bCs/>
          <w:color w:val="000000"/>
          <w:sz w:val="24"/>
          <w:szCs w:val="24"/>
          <w:shd w:val="clear" w:color="auto" w:fill="FFFFFF"/>
        </w:rPr>
        <w:t>miştir</w:t>
      </w:r>
      <w:r w:rsidRPr="007B0C1D">
        <w:rPr>
          <w:rStyle w:val="dairekarari"/>
          <w:rFonts w:ascii="Times New Roman" w:hAnsi="Times New Roman" w:cs="Times New Roman"/>
          <w:bCs/>
          <w:color w:val="000000"/>
          <w:sz w:val="24"/>
          <w:szCs w:val="24"/>
          <w:shd w:val="clear" w:color="auto" w:fill="FFFFFF"/>
        </w:rPr>
        <w:t>.</w:t>
      </w:r>
      <w:r w:rsidR="00111DD6" w:rsidRPr="007B0C1D">
        <w:rPr>
          <w:rStyle w:val="DipnotBavurusu"/>
          <w:rFonts w:ascii="Times New Roman" w:hAnsi="Times New Roman"/>
          <w:bCs/>
          <w:color w:val="000000"/>
          <w:sz w:val="24"/>
          <w:szCs w:val="24"/>
          <w:shd w:val="clear" w:color="auto" w:fill="FFFFFF"/>
        </w:rPr>
        <w:footnoteReference w:id="20"/>
      </w:r>
    </w:p>
    <w:p w14:paraId="73B4E38C" w14:textId="689ECB24" w:rsidR="00111DD6" w:rsidRPr="007B0C1D" w:rsidRDefault="00B42CF8" w:rsidP="00B95C04">
      <w:pPr>
        <w:tabs>
          <w:tab w:val="left" w:pos="1080"/>
        </w:tabs>
        <w:spacing w:after="100" w:line="240" w:lineRule="auto"/>
        <w:jc w:val="both"/>
        <w:rPr>
          <w:rFonts w:ascii="Times New Roman" w:hAnsi="Times New Roman" w:cs="Times New Roman"/>
          <w:color w:val="000000"/>
          <w:sz w:val="24"/>
          <w:szCs w:val="24"/>
        </w:rPr>
      </w:pPr>
      <w:r w:rsidRPr="007B0C1D">
        <w:rPr>
          <w:rFonts w:ascii="Times New Roman" w:hAnsi="Times New Roman" w:cs="Times New Roman"/>
          <w:sz w:val="24"/>
          <w:szCs w:val="24"/>
        </w:rPr>
        <w:t xml:space="preserve">Anayasanın,  özel hayatın gizliliği ve korunması başlıklı 20. maddesi ile 6698 sayılı Kişisel Verilerin Korunması Kanunu, TC </w:t>
      </w:r>
      <w:r w:rsidR="00ED5BFA" w:rsidRPr="007B0C1D">
        <w:rPr>
          <w:rFonts w:ascii="Times New Roman" w:hAnsi="Times New Roman" w:cs="Times New Roman"/>
          <w:sz w:val="24"/>
          <w:szCs w:val="24"/>
        </w:rPr>
        <w:t>k</w:t>
      </w:r>
      <w:r w:rsidRPr="007B0C1D">
        <w:rPr>
          <w:rFonts w:ascii="Times New Roman" w:hAnsi="Times New Roman" w:cs="Times New Roman"/>
          <w:sz w:val="24"/>
          <w:szCs w:val="24"/>
        </w:rPr>
        <w:t xml:space="preserve">imlik numaraları dahil kişilerin özel bilgilerini yasal teminat altına almıştır. TCK’nin 135/1 ve 135/2. maddelerinde de </w:t>
      </w:r>
      <w:r w:rsidRPr="007B0C1D">
        <w:rPr>
          <w:rFonts w:ascii="Times New Roman" w:hAnsi="Times New Roman" w:cs="Times New Roman"/>
          <w:i/>
          <w:sz w:val="24"/>
          <w:szCs w:val="24"/>
        </w:rPr>
        <w:t>“siyasi, felsefi veya dini görüşlerine, hukuka aykırı olarak ahlaki eğilimlerine, cinsel yaşamlarına”</w:t>
      </w:r>
      <w:r w:rsidRPr="007B0C1D">
        <w:rPr>
          <w:rFonts w:ascii="Times New Roman" w:hAnsi="Times New Roman" w:cs="Times New Roman"/>
          <w:sz w:val="24"/>
          <w:szCs w:val="24"/>
        </w:rPr>
        <w:t xml:space="preserve"> göre fişlemeye hapis cezası öngörürken, hakkımda gerçeğe aykırı FİŞLEMELERİ ile işlem yapılması, TCK’ya, Anayasa’nın 20 ile 38. maddelerine ve AİHS’in</w:t>
      </w:r>
      <w:r w:rsidR="00AC34C4" w:rsidRPr="007B0C1D">
        <w:rPr>
          <w:rFonts w:ascii="Times New Roman" w:hAnsi="Times New Roman" w:cs="Times New Roman"/>
          <w:sz w:val="24"/>
          <w:szCs w:val="24"/>
        </w:rPr>
        <w:t xml:space="preserve"> 6 ila</w:t>
      </w:r>
      <w:r w:rsidRPr="007B0C1D">
        <w:rPr>
          <w:rFonts w:ascii="Times New Roman" w:hAnsi="Times New Roman" w:cs="Times New Roman"/>
          <w:sz w:val="24"/>
          <w:szCs w:val="24"/>
        </w:rPr>
        <w:t xml:space="preserve"> 8. madde</w:t>
      </w:r>
      <w:r w:rsidR="00AC34C4" w:rsidRPr="007B0C1D">
        <w:rPr>
          <w:rFonts w:ascii="Times New Roman" w:hAnsi="Times New Roman" w:cs="Times New Roman"/>
          <w:sz w:val="24"/>
          <w:szCs w:val="24"/>
        </w:rPr>
        <w:t>leri</w:t>
      </w:r>
      <w:r w:rsidRPr="007B0C1D">
        <w:rPr>
          <w:rFonts w:ascii="Times New Roman" w:hAnsi="Times New Roman" w:cs="Times New Roman"/>
          <w:sz w:val="24"/>
          <w:szCs w:val="24"/>
        </w:rPr>
        <w:t xml:space="preserve"> açıkça aykırıdır.</w:t>
      </w:r>
      <w:r w:rsidR="00AC34C4" w:rsidRPr="007B0C1D">
        <w:rPr>
          <w:rFonts w:ascii="Times New Roman" w:hAnsi="Times New Roman" w:cs="Times New Roman"/>
          <w:sz w:val="24"/>
          <w:szCs w:val="24"/>
        </w:rPr>
        <w:t xml:space="preserve"> Kısaca, hukuka aykırı elde edilen SD karttaki fişleme bilgileriyle hakkımda mahkumiyet kararı verilmesi </w:t>
      </w:r>
      <w:r w:rsidR="00AC34C4" w:rsidRPr="007B0C1D">
        <w:rPr>
          <w:rFonts w:ascii="Times New Roman" w:hAnsi="Times New Roman" w:cs="Times New Roman"/>
          <w:b/>
          <w:sz w:val="24"/>
          <w:szCs w:val="24"/>
        </w:rPr>
        <w:t>adil yargılanma hakkımın ihlaline neden olduğu gibi,</w:t>
      </w:r>
      <w:r w:rsidR="00AC34C4" w:rsidRPr="007B0C1D">
        <w:rPr>
          <w:rFonts w:ascii="Times New Roman" w:hAnsi="Times New Roman" w:cs="Times New Roman"/>
          <w:sz w:val="24"/>
          <w:szCs w:val="24"/>
        </w:rPr>
        <w:t xml:space="preserve"> kişisel bilgilerimin hukuka aykırı şekilde kaydedilip depolanması nedeniyle </w:t>
      </w:r>
      <w:r w:rsidR="00AC34C4" w:rsidRPr="007B0C1D">
        <w:rPr>
          <w:rFonts w:ascii="Times New Roman" w:hAnsi="Times New Roman" w:cs="Times New Roman"/>
          <w:b/>
          <w:sz w:val="24"/>
          <w:szCs w:val="24"/>
        </w:rPr>
        <w:t xml:space="preserve">özel yaşama saygı hakkım da ihlal edilmiştir. </w:t>
      </w:r>
      <w:r w:rsidR="00AC34C4" w:rsidRPr="007B0C1D">
        <w:rPr>
          <w:rFonts w:ascii="Times New Roman" w:hAnsi="Times New Roman" w:cs="Times New Roman"/>
          <w:sz w:val="24"/>
          <w:szCs w:val="24"/>
        </w:rPr>
        <w:t>Zira AİHM verdiği bir kararında, güvenlik güçleri tarafından gizli izleme metotları kullanmaksızın belirli kişiler hakkında sistematik veri toplanması ve depolanmasının, bu veriler açık kaynaktan temin edilse bile kişilerin özel yaşamlarına müdahale oluşturacağını, bu bilgilerin kişinin uzak geçmişi ile ilgili olması halinde de aynı müdahalenin varlığının kabul edileceğini belirtmiştir</w:t>
      </w:r>
      <w:r w:rsidR="00AC34C4" w:rsidRPr="007B0C1D">
        <w:rPr>
          <w:rFonts w:ascii="Times New Roman" w:hAnsi="Times New Roman" w:cs="Times New Roman"/>
          <w:color w:val="000000"/>
          <w:sz w:val="24"/>
          <w:szCs w:val="24"/>
        </w:rPr>
        <w:t>.</w:t>
      </w:r>
      <w:r w:rsidR="00AC34C4" w:rsidRPr="007B0C1D">
        <w:rPr>
          <w:rStyle w:val="DipnotBavurusu"/>
          <w:rFonts w:ascii="Times New Roman" w:hAnsi="Times New Roman"/>
          <w:color w:val="000000"/>
          <w:sz w:val="24"/>
          <w:szCs w:val="24"/>
        </w:rPr>
        <w:footnoteReference w:id="21"/>
      </w:r>
    </w:p>
    <w:p w14:paraId="2C4664D3" w14:textId="5C97E60F" w:rsidR="007B0C1D" w:rsidRPr="007B0C1D" w:rsidRDefault="007B0C1D" w:rsidP="007B0C1D">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jc w:val="both"/>
        <w:rPr>
          <w:rFonts w:ascii="Times New Roman" w:eastAsia="Times New Roman" w:hAnsi="Times New Roman" w:cs="Times New Roman"/>
          <w:b/>
          <w:bCs/>
          <w:sz w:val="24"/>
          <w:szCs w:val="24"/>
          <w:lang w:eastAsia="tr-TR"/>
        </w:rPr>
      </w:pPr>
      <w:r w:rsidRPr="007B0C1D">
        <w:rPr>
          <w:rFonts w:ascii="Times New Roman" w:eastAsia="Times New Roman" w:hAnsi="Times New Roman" w:cs="Times New Roman"/>
          <w:b/>
          <w:bCs/>
          <w:sz w:val="24"/>
          <w:szCs w:val="24"/>
          <w:lang w:eastAsia="tr-TR"/>
        </w:rPr>
        <w:t>5</w:t>
      </w:r>
      <w:r w:rsidRPr="007B0C1D">
        <w:rPr>
          <w:rFonts w:ascii="Times New Roman" w:eastAsia="Times New Roman" w:hAnsi="Times New Roman" w:cs="Times New Roman"/>
          <w:b/>
          <w:bCs/>
          <w:sz w:val="24"/>
          <w:szCs w:val="24"/>
          <w:lang w:eastAsia="tr-TR"/>
        </w:rPr>
        <w:t>) Kanunsuz Suç ve Ceza Olmaz İlkesi</w:t>
      </w:r>
    </w:p>
    <w:p w14:paraId="2396ABF9" w14:textId="77777777" w:rsidR="007B0C1D" w:rsidRPr="007B0C1D" w:rsidRDefault="007B0C1D" w:rsidP="007B0C1D">
      <w:pPr>
        <w:shd w:val="clear" w:color="auto" w:fill="FFFFFF"/>
        <w:spacing w:before="120"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Türk Ceza Kanunu'nun (TCK) 314. maddesinde düzenlenen silahlı örgüt, terör örgütü niteliği taşıdığından Terörle Mücadele Kanunu'nun (TMK) 7/1 ve TCK 314/3 maddeleriyle bağlantılı olarak TCK 220. maddesindeki suç örgütü unsurlarıyla birleşerek oluşur. Bu yapı, Devletin güvenliğine, ülke bütünlüğüne ve Anayasal düzene karşı ağır ve yakın tehlike yaratan oluşumlar olup, tehlike "maddi bir fiil" ve "ciddi" nitelikte olmalıdır. Yargıtay içtihatları, bir yapılanmanın silahlı örgüt olup olmadığını "matuf eylem" (vahim suç) ile belirler; matuf eylem, silahlı mücadelenin başlangıcını gösterir ve güvenlik güçleriyle çatışma, karakol baskını veya öldürme gibi eylemleri kapsar. 2003 TMK değişikliğiyle, terör ve silahlı örgütlerin nihai amaçlarına yönelik suç işlemeleri zorunlu hale gelmiş, bu da matuf suçun kesinleşmiş yargı kararıyla tespitini gerektirir.</w:t>
      </w:r>
    </w:p>
    <w:p w14:paraId="66504792" w14:textId="77777777" w:rsidR="007B0C1D" w:rsidRPr="007B0C1D" w:rsidRDefault="007B0C1D" w:rsidP="007B0C1D">
      <w:pPr>
        <w:shd w:val="clear" w:color="auto" w:fill="FFFFFF"/>
        <w:spacing w:before="120"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Yargıtay 9. Ceza Dairesi kararlarında, silahlı örgüt kabulü genellikle ilk matuf eylemden verilen mahkûmiyet hükümlerinin temyiz incelemesinde yapılır; burada yerel mahkemenin "silahlı çete" tespiti tasdik edilir ve vahim eylemler detaylıca listelenir. Başer kararında Yargıtay Ceza Genel Kurulu (CGK), cemaati "anayasal kurumları ele geçirme amacı taşıyan silahlı terör örgütü" olarak nitelendirirken, Emniyet ve TSK'daki yapılanmayı "doğasında var olan cebir ve şiddet yetkisi" ile ilişkilendirmiştir. CGK, cebir-şiddet ve silah kullanımını "ihtimal" düzeyinde yeterli görerek yasayı genişletmiş; örneğin, silah tasarrufu imkânını veya baskı-korkutma yöntemlerini zorunlu </w:t>
      </w:r>
      <w:r w:rsidRPr="007B0C1D">
        <w:rPr>
          <w:rFonts w:ascii="Times New Roman" w:hAnsi="Times New Roman" w:cs="Times New Roman"/>
          <w:sz w:val="24"/>
          <w:szCs w:val="24"/>
        </w:rPr>
        <w:lastRenderedPageBreak/>
        <w:t>fiil yerine potansiyel olarak kabul etmiştir. Ancak karar tarihi itibarıyla, bu unsurları doğrulayan kesinleşmiş mahkûmiyet bulunmamaktadır.</w:t>
      </w:r>
    </w:p>
    <w:p w14:paraId="30D69D42" w14:textId="77777777" w:rsidR="007B0C1D" w:rsidRPr="007B0C1D" w:rsidRDefault="007B0C1D" w:rsidP="007B0C1D">
      <w:pPr>
        <w:shd w:val="clear" w:color="auto" w:fill="FFFFFF"/>
        <w:spacing w:before="120"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CGK, 15 Temmuz 2016 olaylarını geriye dönük esas alarak silahlı örgüt kabulü yapmıştır; ancak suç tarihi 2015 olduğundan bu hukuken geçersizdir, zira ceza yargılaması suç tarihiyle sınırlıdır ve derdest davalar kesinleşmiş gibi yorumlanamaz. Bu yaklaşım masumiyet karinesini ihlal eder. AİHM'in Parmak ve Bakır kararında vurguladığı üzere, yasada olmayan kavramların genişletilmesi öngörülemezlik yaratır; Başer kararında CGK, "potansiyel cebir" ve "silah erişim imkânı" gibi unsurları (Yalçınkaya §161'de belirtilen) yasaya aykırı ekleyerek cemaati silahlı örgüt kabul etmiş, matuf eylem yokluğunda suç unsurlarını bozmuş ve yasaların lehe uygulama ilkesini göz ardı etmiştir.</w:t>
      </w:r>
    </w:p>
    <w:p w14:paraId="345BB210" w14:textId="77777777" w:rsidR="007B0C1D" w:rsidRPr="007B0C1D" w:rsidRDefault="007B0C1D" w:rsidP="007B0C1D">
      <w:pPr>
        <w:shd w:val="clear" w:color="auto" w:fill="FFFFFF"/>
        <w:spacing w:before="120"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Başvurucu, Bylock kullanımı, Bank Asya'ya para yatırma, sohbetlere katılma, dernek üyeliği gibi yasal faaliyetler nedeniyle terör örgütü üyeliğinden cezalandırılmış; bunlar şiddeti teşvik etmediği halde suç sayılmıştır. Mahkemeler TCK 314/2'yi öngörülemez yorumlayarak yasal eylemleri cezalandırmış, örgüt hiyerarşisi veya nihai amaç bağlantısını kanıtlamamıştır. AİHM, Yalçınkaya kararında bu maddenin öngörülemez olduğunu ve yasal faaliyetleri suç haline getirdiğini belirtirken, Venedik Komisyonu da maddenin geniş uygulamasını eleştirir; uluslararası sözleşmelere uyması için "devamlılık, çeşitlilik ve yoğunluk" kriterlerinin katı uygulanmasını önerir. Bu kriterler o kadar geniştir ki, cezalandırma uygulayıcıların insafına kalmış, keyfiliği artırmıştır.</w:t>
      </w:r>
    </w:p>
    <w:p w14:paraId="3CCAD56C" w14:textId="77777777" w:rsidR="007B0C1D" w:rsidRPr="007B0C1D" w:rsidRDefault="007B0C1D" w:rsidP="007B0C1D">
      <w:pPr>
        <w:shd w:val="clear" w:color="auto" w:fill="FFFFFF"/>
        <w:spacing w:before="120"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Mahkeme, silahlı terör örgütü üyeliğinden mahkumiyete hükmetmiş fakat silahlı örgüt kabulüyle ilgili kendisi bir değerlendirme yapmayıp Yargıtay’ın hatalarla dolu kararına atıfla yetinmiştir. Ayrıca, hatalı bu kabulle birlikte örgüt üyeliği suçunun örgütün hiyerarşik yapısına dahil olma şeklindeki “maddi unsurunun” ve örgütün niteliğini bilme ve istemeyi içeren “manevi unsurunun” nasıl gerçekleştiğini delillerle ilişkilendirerek göstermemiştir. Dahası manevi unsur bakımından, varsayıma dayalı karar vermiştir. Suçun unsurlarının varlığı araştırılmadan ve bu unsurların gerçekleştiği ortaya konulmadan mahkumiyete hükmedilmesi ise suç ve cezaların yasallığı ilkesinin ihlali sebebidir.</w:t>
      </w:r>
    </w:p>
    <w:p w14:paraId="4C6A6042" w14:textId="77777777" w:rsidR="007B0C1D" w:rsidRPr="007B0C1D" w:rsidRDefault="007B0C1D" w:rsidP="007B0C1D">
      <w:pPr>
        <w:shd w:val="clear" w:color="auto" w:fill="FFFFFF"/>
        <w:spacing w:before="120"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Bir kişinin silahlı terör örgütü üyesi sayılabilmesi için örgütün hiyerarşisine dahil olması gerekmektedir. Hiyerarşi, örgütteki emir komuta zinciri, alt ve üst olma durumudur. Kişinin örgüt lehine eylemlerde bulunmasına rağmen örgüt içerisindeki hiyerarşide yeri tespit edilemiyorsa; örgüt üyeliğinden değil, unsurları oluşmuşsa örgüt propagandası veya örgüt üyesi olmamakla birlikte örgüt adına suç işleme gibi suçlardan mahkum edilmektedir. Yargıtay 16. Ceza Dairesinin Ergenekon Davasına ilişkin bozma kararında, hiyerarşik yapının ne olduğu ve mahkemelerin bunu net bir şekilde ortaya koyması gerektiği ifade edilmiştir. Yargıtay kararları uyarınca, örgüt faaliyetlerinin süreklilik, çeşitlilik ve yoğunluk taşıması halinde kişiler hiyerarşik yapıya dahil olmuş, örgütle organik bağ kurmuş sayılırlar ve örgüt üyesi kabul edilirler. Bu üç kriterin "birlikte" gerçekleşmesi aranmaktadır. 15 Temmuz sonrası yargılamalarda, ortada silahlı bir örgüt olmadığı bilindiğinden hiyerarşik yapı somutlaştırılamamakta ve kişilerin bu yapıdaki yeri belirlenmemektedir. Başvuruya konu olayda da hiyerarşik yapı içindeki yerim ne olduğu, bu yapıda hangi birimler olduğu ve bunlar arasında irtibatın nasıl sağlandığı, kimden talimat aldığım ve kimlere talimat verdiğim açıklanamadan örgüt üyesi olarak kabul edildim. Suçun maddi unsuru ortaya konulmadan verilen ceza, suç ve cezaların yasallığı ilkesine açıkça aykırıdır.</w:t>
      </w:r>
    </w:p>
    <w:p w14:paraId="27FB9D85" w14:textId="77777777" w:rsidR="007B0C1D" w:rsidRPr="007B0C1D" w:rsidRDefault="007B0C1D" w:rsidP="007B0C1D">
      <w:pPr>
        <w:shd w:val="clear" w:color="auto" w:fill="FFFFFF"/>
        <w:spacing w:before="120"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Silahlı örgüt üyeliği suçunun manevi unsuru doğrudan kasttır. Yani kişi, bir yapının TCK’nın 314. maddesi kapsamında bir silahlı örgüt olduğunu bilerek ve isteyerek bu yapıya dahil olmalıdır. Suç, ancak doğrudan kast ile işlenebileceğinden ve suçun işlenmesinde dolaylı kast (TCK m. 21/2) yeterli olmadığından; dahil olunan oluşumun silahlı örgüt olabileceğini “öngörmesine rağmen” bu yapı içerisine girilmesi halinde dahi suç oluşmaz. Kişi, bu yapının silahlı örgüt olduğunu kesin olarak bilmeli ve bu mahkemece hiçbir şüpheye yer vermeyecek ve tahmin içermeyecek şekilde kanıtlanmalıdır. Dini bir cemaate veya sivil bir toplum kuruluşuna mensup olduğunu düşüncesiyle </w:t>
      </w:r>
      <w:r w:rsidRPr="007B0C1D">
        <w:rPr>
          <w:rFonts w:ascii="Times New Roman" w:hAnsi="Times New Roman" w:cs="Times New Roman"/>
          <w:sz w:val="24"/>
          <w:szCs w:val="24"/>
        </w:rPr>
        <w:lastRenderedPageBreak/>
        <w:t xml:space="preserve">bir yapı içine girilmesi durumunda kişinin, TCK’nın 30. maddesinde öngörülen hata halinde bulunduğu kabul edilir ve TCK’nın 314. maddesinden ceza verilemez. </w:t>
      </w:r>
    </w:p>
    <w:p w14:paraId="7AD6AD1D" w14:textId="77777777" w:rsidR="007B0C1D" w:rsidRPr="007B0C1D" w:rsidRDefault="007B0C1D" w:rsidP="007B0C1D">
      <w:pPr>
        <w:shd w:val="clear" w:color="auto" w:fill="FFFFFF"/>
        <w:spacing w:before="120"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 xml:space="preserve">Ayrıca, Yargıtay’a göre cemaatin nihai amacı, kurucu ve yöneticileri tarafından gizlenmemiş olup herkesçe bilinmemektedir. Yine Yargıtay, bu hareketin nihai amacını kendi mensuplarına dahi açıklamadığını, dini bir cemaat olarak bilinen bu yapının aslında bir terör örgütü olduğunu devlet yetkililerinin bile bilmediğini kabul etmektedir. Bununla birlikte, 15 Temmuz yargılamalarında manevi unsur değerlendirmesi bir karine üzerinden yürütülmektedir. Zira 16. Ceza Dairesi, cemaat içinde “7 katlı piramit” bir yapılanmanın olduğunu kabul etmiştir. Bu piramit doğrultusunda manevi unsur değerlendirmesi yapan Daire, amaç suçu yani darbe teşebbüsünü 6 ve 7. katlarda bulunanlarla ilgili “mutlaka bilir”, 4 ve 5. katlarda bulunanlarla ilgili “kural olarak bilir”, 1 ve 2. katlarda bulunanlarla ilgili de “bilmeyebilir” şeklinde bir ön kabul ve varsayımla hareket etmektedir. Bana isnat edilen eylemlerin tamamı, 15/7/2016 ve Yargıtay’ın Cemaati silahlı örgüt kabul ettiği yanlış ve hatalarla dolu kararının kesinleşme tarihi olan 26/9/2017’den öncedir. Ancak mahkemeler, bu hatalı kabulden hareketle bile Cemaate isnat edilen “hükümeti ortadan kaldırma” nihai amacını bildiğimi ve istediğimi araştırma gereği duymamışlardır. Bunun sebebi de bu kabulün yanlışlığının anlaşılacak olmasıdır. </w:t>
      </w:r>
    </w:p>
    <w:p w14:paraId="037457F3" w14:textId="565FDCEB" w:rsidR="007B0C1D" w:rsidRPr="007B0C1D" w:rsidRDefault="007B0C1D" w:rsidP="007B0C1D">
      <w:pPr>
        <w:shd w:val="clear" w:color="auto" w:fill="FFFFFF"/>
        <w:spacing w:before="120" w:after="0" w:line="240" w:lineRule="auto"/>
        <w:jc w:val="both"/>
        <w:rPr>
          <w:rFonts w:ascii="Times New Roman" w:hAnsi="Times New Roman" w:cs="Times New Roman"/>
          <w:sz w:val="24"/>
          <w:szCs w:val="24"/>
        </w:rPr>
      </w:pPr>
      <w:r w:rsidRPr="007B0C1D">
        <w:rPr>
          <w:rFonts w:ascii="Times New Roman" w:hAnsi="Times New Roman" w:cs="Times New Roman"/>
          <w:sz w:val="24"/>
          <w:szCs w:val="24"/>
        </w:rPr>
        <w:t>Öte yandan, Yargıtay 16. Ceza Dairesinin manevi unsuru varsayıma dayandıran yaklaşımı güncel yargılamalarda kullandığı, ancak başka davalarda daha farklı davrandığı anlaşılmaktadır. Nitekim il emniyet müdürlüğü de yapan Hanefi A. hakkında, bir terör örgütüne üye olmaktan uzun yıllar tutuklu kalmış bir kişiye, onunla ilgili telefon dinleme tedbiri uygulandığını söylemesi nedeniyle verilen silahlı örgüte yardım suçundan ceza verilmiştir. Ancak, onama sonrasında Yargıtay Cumhuriyet Başsavcısının itirazı üzerine dosyayı inceleyen 16. Ceza Dairesi, “suçun manevi unsurunun gerçekleştiğine dair yeterli delil bulunmadığı” gerekçesiyle mahkumiyet hükmünü bozmuştur. Uzun yıllar emniyette ve özellikle istihbarat alanında görev yapan ve bilgi verdiği kişinin geçmişini yakından bilen Hanefi A’nın silahlı terör örgütüne yardım ettiğini bilemeyeceğini, sanığın doğrudan kastla hareket ettiğine dair yeterli delil olmadığını ve bu nedenle suçun manevi unsurunun oluşmadığını belirten Yargıtay, Cemaatin iddia edilen terör örgütü niteliğini bildiğimi ve bunu istediğimi ortaya koyamayan kararı ise onamıştır. Bu durum ise açıkça suç ve cezaların yasallığı ilkesine aykırıdır.</w:t>
      </w:r>
    </w:p>
    <w:p w14:paraId="215EBFB9"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
          <w:bCs/>
          <w:sz w:val="24"/>
          <w:szCs w:val="24"/>
          <w:lang w:eastAsia="tr-TR"/>
        </w:rPr>
      </w:pPr>
      <w:r w:rsidRPr="007B0C1D">
        <w:rPr>
          <w:rFonts w:ascii="Times New Roman" w:eastAsia="Times New Roman" w:hAnsi="Times New Roman" w:cs="Times New Roman"/>
          <w:b/>
          <w:bCs/>
          <w:sz w:val="24"/>
          <w:szCs w:val="24"/>
          <w:lang w:eastAsia="tr-TR"/>
        </w:rPr>
        <w:t>5) Hak ve Hürriyetlerin Sınırlandırılması İlkesi (Anayasa m. 13)</w:t>
      </w:r>
    </w:p>
    <w:p w14:paraId="4AEDE9C2"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7B0C1D">
        <w:rPr>
          <w:rFonts w:ascii="Times New Roman" w:eastAsia="Times New Roman" w:hAnsi="Times New Roman" w:cs="Times New Roman"/>
          <w:bCs/>
          <w:sz w:val="24"/>
          <w:szCs w:val="24"/>
          <w:lang w:eastAsia="tr-TR"/>
        </w:rPr>
        <w:t>AİHS ve Anayasa, devlete temel hak ve özgürlükleri yok etme veya Sözleşme'de öngörülenden daha geniş kısıtlama yetkisi vermez; kısıtlamalar öngörüldükleri amaç dışında uygulanamaz. Bu ilkeler, devletin eylemlerinin meşru sınırlar içinde kalmasını sağlar ve herhangi bir etkinliğin hakları aşan bir şekilde kullanılmasını engeller. İdare, bu yetkileri kötüye kullanarak bireylerin özgürlüklerini keyfi biçimde sınırlayamaz. Bu bağlamda, hak kısıtlamaları yalnızca belirlenmiş amaçlar doğrultusunda ve orantılı olarak uygulanabilir.</w:t>
      </w:r>
    </w:p>
    <w:p w14:paraId="242D913E"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7B0C1D">
        <w:rPr>
          <w:rFonts w:ascii="Times New Roman" w:eastAsia="Times New Roman" w:hAnsi="Times New Roman" w:cs="Times New Roman"/>
          <w:bCs/>
          <w:sz w:val="24"/>
          <w:szCs w:val="24"/>
          <w:lang w:eastAsia="tr-TR"/>
        </w:rPr>
        <w:t>AİHM'in Demirtaş ve Kavala kararlarında vurgulandığı üzere, idare başvurucu ve benzer kişiler hakkında gizli amaçlarla, politik avantaj sağlamak için yaptırımlar uygulamaktadır. Bu yaptırımlar, gerçek suç karışmasından ziyade politik hedeflere ulaşma ve devlet işleyişinde manevra yapma amacıyla yapılmakta olup, bireyleri hedef alan sistematik bir yaklaşımı yansıtır. İdare, bu şekilde Anayasa'nın hak kısıtlama yetkisini aşarak gizli amaçlara hizmet etmek üzere kötüye kullanmıştır. Bu tür uygulamalar, demokratik ilkelerin ihlalini doğurur.</w:t>
      </w:r>
    </w:p>
    <w:p w14:paraId="0329C23B"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7B0C1D">
        <w:rPr>
          <w:rFonts w:ascii="Times New Roman" w:eastAsia="Times New Roman" w:hAnsi="Times New Roman" w:cs="Times New Roman"/>
          <w:bCs/>
          <w:sz w:val="24"/>
          <w:szCs w:val="24"/>
          <w:lang w:eastAsia="tr-TR"/>
        </w:rPr>
        <w:t>Bir milyona varan soruşturma, yüzbinleri aşan işten çıkarma ve milyar dolarlık malvarlıklarına el koyma gibi uygulamalar darbe girişimiyle izah edilemez. Bu eylemler, 9 yılı aşkın süredir devam etmekte ve başvurucuyu doğrudan etkilemektedir. İdare, bu süreçte olağanüstü hal yetkilerini aşarak, darbe bastırma gerekçesini ötesinde bir yok etme politikası izlemiştir. Bu durum, hak ihlallerinin sistematik ve uzun vadeli bir stratejiye dayandığını gösterir.</w:t>
      </w:r>
    </w:p>
    <w:p w14:paraId="740D0894"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7B0C1D">
        <w:rPr>
          <w:rFonts w:ascii="Times New Roman" w:eastAsia="Times New Roman" w:hAnsi="Times New Roman" w:cs="Times New Roman"/>
          <w:bCs/>
          <w:sz w:val="24"/>
          <w:szCs w:val="24"/>
          <w:lang w:eastAsia="tr-TR"/>
        </w:rPr>
        <w:lastRenderedPageBreak/>
        <w:t>Devlet, Cemaat mensubu olduklarını iddia ettiği kişilere, sadece düşünce ve inanç temelli sivil toplum aidiyeti nedeniyle ayrımcı muamele uygulamış ve onları yok etmeyi hedefleyerek Sözleşme haklarını kötüye kullanmıştır (AİHS 18. madde ihlali). BM Haksız Tutuklama Çalışma Grubu'nun Mestan Yayman ve Hamza Yaman gibi kararlarında, "FETÖ/PDY" suçlamalarının ayrımcılık temelli ihlallere yol açtığı tespit edilmiştir. Bu ihlaller, bireylerin kimlik aidiyeti nedeniyle hedef alınmasını ve ayrımcı politikaları içermektedir.</w:t>
      </w:r>
    </w:p>
    <w:p w14:paraId="330F09FC"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7B0C1D">
        <w:rPr>
          <w:rFonts w:ascii="Times New Roman" w:eastAsia="Times New Roman" w:hAnsi="Times New Roman" w:cs="Times New Roman"/>
          <w:bCs/>
          <w:sz w:val="24"/>
          <w:szCs w:val="24"/>
          <w:lang w:eastAsia="tr-TR"/>
        </w:rPr>
        <w:t>AİHM'in 18. madde kriterleri, kısıtlamaların makul şüpheye dayanmaması ve başvurucuya atılı eylemlerin suç unsuru içermemesi gibi gerekçeleri, Cemaat'e yönelik işlemlerde fazlasıyla mevcuttur. Cemaat mensuplarına yöneltilen ByLock kullanımı, Bank Asya'ya para yatırma, yasal kurumlarda çalışma, sendika/dernek üyeliği, dini sohbetlere katılma gibi iddialar, işlendiği tarihte ve halen yasal olup suç unsuru içermemektedir. Bu eylemler 15 Temmuz 2016 öncesi soruşturma konusu yapılmamış, çünkü tamamen yasaldır ve sadece Cemaat'e özgü olmayıp, AKP ve önceki iktidarlar tarafından teşvik edilmiştir.</w:t>
      </w:r>
    </w:p>
    <w:p w14:paraId="62FEC875"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7B0C1D">
        <w:rPr>
          <w:rFonts w:ascii="Times New Roman" w:eastAsia="Times New Roman" w:hAnsi="Times New Roman" w:cs="Times New Roman"/>
          <w:bCs/>
          <w:sz w:val="24"/>
          <w:szCs w:val="24"/>
          <w:lang w:eastAsia="tr-TR"/>
        </w:rPr>
        <w:t>Bu faaliyetler, AİHS'de korunan hakların (özel hayat gizliliği, haberleşme özgürlüğü, din ve ifade özgürlüğü, dernek kurma hakkı) kullanımı niteliğindedir ve olağanüstü hallerde bile dokunulmaz "kanunsuz ceza olmaz" ilkesinin koruması altındadır. Bu eylemlerin suç haline getirilmesi, Sözleşme'nin temel ilkelerini ihlal eder. Ayrıca, bu tür kısıtlamalar, bireylerin yasal faaliyetlerini cezalandırarak öngörülemezlik yaratır.</w:t>
      </w:r>
    </w:p>
    <w:p w14:paraId="635D2E62"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7B0C1D">
        <w:rPr>
          <w:rFonts w:ascii="Times New Roman" w:eastAsia="Times New Roman" w:hAnsi="Times New Roman" w:cs="Times New Roman"/>
          <w:bCs/>
          <w:sz w:val="24"/>
          <w:szCs w:val="24"/>
          <w:lang w:eastAsia="tr-TR"/>
        </w:rPr>
        <w:t>Suçlamaların zamanlaması hukuka aykırılığı ortaya koymakta; atılı eylemler ile tutuklama kararları arasında uzun yıllar geçmiş olup, örneğin Bank Asya'nın faaliyet izni 15 Temmuz sonrası kaldırılmış ve bu tarihe kadar para yatırma suç sayılmamıştır. ByLock ve dini sohbetler gibi faaliyetler kullanım döneminde yasaldı ve toplumun her kesimi tarafından destekleniyordu. Avrupa Konseyi İnsan Hakları Komiseri'nin memorandumunda belirtildiği üzere, bir Türk vatandaşının Cemaat ile ilişki kurmamış olması istisnai bir durumdur. Bu eylemlerin suç haline getirilmesi, keyfi ve ayrımcı bir yaklaşımı yansıtmaktadır.</w:t>
      </w:r>
    </w:p>
    <w:p w14:paraId="08C94570"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Cs/>
          <w:sz w:val="24"/>
          <w:szCs w:val="24"/>
          <w:lang w:eastAsia="tr-TR"/>
        </w:rPr>
      </w:pPr>
      <w:r w:rsidRPr="007B0C1D">
        <w:rPr>
          <w:rFonts w:ascii="Times New Roman" w:eastAsia="Times New Roman" w:hAnsi="Times New Roman" w:cs="Times New Roman"/>
          <w:bCs/>
          <w:sz w:val="24"/>
          <w:szCs w:val="24"/>
          <w:lang w:eastAsia="tr-TR"/>
        </w:rPr>
        <w:t>Cumhurbaşkanı, devlet ve hükümet yetkilileri, 17-25 Aralık 2013 yolsuzluk operasyonlarını "hükümete karşı darbe" olarak niteleyerek Cemaat'i "paralel yapı", "hain" gibi ifadelerle düşman ilan etmiş, hesap sorma ve yok etme amacıyla istiklal mücadelesi başlattıklarını belirtmiştir. Bu söylemler, yargıya talimat verme ve baskı uygulama şeklinde eyleme dönüşmüş; Sulh Ceza Hakimlikleri gibi yapısal değişiklikler yapılmış, yargı bağımsızlığı zedelenmiştir. AKPM raporunda vurgulandığı üzere, bu değişiklikler Cemaat ile mücadele için kurulmuş olup, yargı yürütmenin baskısı altında muhaliflere karşı silah olarak kullanılmıştır. AYM, AİHM ve BM kararlarının bile uygulanmaması, bu baskının sonucudur. Aynı eylemler (okullarda eğitim, dernek üyeliği, banka işlemleri, telefon görüşmeleri) Cemaat mensupları için terör delili sayılırken, iktidar mensupları ve diğer kesimlere soruşturma açılmamakta, takipsizlik veya beraat verilmektedir. Bu ayrımcılık suç ve cezaların kanuniliği ilkesini ihlal etmektedir. Toplamda, bu uygulamalar, bir insan topluluğunu yok etme, intikam alma ve sistemli hak ihlalleri amacıyla yapılmakta olup, Anayasa’nın 13 ve AİHS’in 18. madde ihlalini doğurmaktadır</w:t>
      </w:r>
    </w:p>
    <w:p w14:paraId="2C799961" w14:textId="77777777" w:rsidR="007B0C1D" w:rsidRPr="007B0C1D" w:rsidRDefault="007B0C1D" w:rsidP="007B0C1D">
      <w:pPr>
        <w:shd w:val="clear" w:color="auto" w:fill="FFFFFF"/>
        <w:spacing w:before="120" w:after="0" w:line="240" w:lineRule="auto"/>
        <w:jc w:val="both"/>
        <w:rPr>
          <w:rFonts w:ascii="Times New Roman" w:eastAsia="Times New Roman" w:hAnsi="Times New Roman" w:cs="Times New Roman"/>
          <w:bCs/>
          <w:sz w:val="24"/>
          <w:szCs w:val="24"/>
          <w:lang w:eastAsia="tr-TR"/>
        </w:rPr>
      </w:pPr>
    </w:p>
    <w:p w14:paraId="604AAFC8" w14:textId="77777777" w:rsidR="007B0C1D" w:rsidRPr="007B0C1D" w:rsidRDefault="007B0C1D" w:rsidP="00B95C04">
      <w:pPr>
        <w:tabs>
          <w:tab w:val="left" w:pos="1080"/>
        </w:tabs>
        <w:spacing w:after="100" w:line="240" w:lineRule="auto"/>
        <w:jc w:val="both"/>
        <w:rPr>
          <w:rFonts w:ascii="Times New Roman" w:hAnsi="Times New Roman" w:cs="Times New Roman"/>
          <w:bCs/>
          <w:color w:val="000000"/>
          <w:sz w:val="24"/>
          <w:szCs w:val="24"/>
          <w:shd w:val="clear" w:color="auto" w:fill="FFFFFF"/>
        </w:rPr>
      </w:pPr>
    </w:p>
    <w:sectPr w:rsidR="007B0C1D" w:rsidRPr="007B0C1D" w:rsidSect="00E71AC6">
      <w:footerReference w:type="default" r:id="rId8"/>
      <w:pgSz w:w="11906" w:h="16838"/>
      <w:pgMar w:top="1276" w:right="1133"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12EC" w14:textId="77777777" w:rsidR="00D919D7" w:rsidRDefault="00D919D7" w:rsidP="00374FF4">
      <w:pPr>
        <w:spacing w:after="0" w:line="240" w:lineRule="auto"/>
      </w:pPr>
      <w:r>
        <w:separator/>
      </w:r>
    </w:p>
  </w:endnote>
  <w:endnote w:type="continuationSeparator" w:id="0">
    <w:p w14:paraId="4036A84F" w14:textId="77777777" w:rsidR="00D919D7" w:rsidRDefault="00D919D7" w:rsidP="0037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ndale Sans UI">
    <w:charset w:val="A2"/>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469"/>
      <w:docPartObj>
        <w:docPartGallery w:val="Page Numbers (Bottom of Page)"/>
        <w:docPartUnique/>
      </w:docPartObj>
    </w:sdtPr>
    <w:sdtContent>
      <w:p w14:paraId="3E74FB93" w14:textId="77777777" w:rsidR="006E73A2" w:rsidRDefault="006B420F">
        <w:pPr>
          <w:pStyle w:val="AltBilgi"/>
          <w:jc w:val="center"/>
        </w:pPr>
        <w:r>
          <w:fldChar w:fldCharType="begin"/>
        </w:r>
        <w:r w:rsidR="006E73A2">
          <w:instrText xml:space="preserve"> PAGE   \* MERGEFORMAT </w:instrText>
        </w:r>
        <w:r>
          <w:fldChar w:fldCharType="separate"/>
        </w:r>
        <w:r w:rsidR="007C7B57">
          <w:rPr>
            <w:noProof/>
          </w:rPr>
          <w:t>1</w:t>
        </w:r>
        <w:r>
          <w:rPr>
            <w:noProof/>
          </w:rPr>
          <w:fldChar w:fldCharType="end"/>
        </w:r>
      </w:p>
    </w:sdtContent>
  </w:sdt>
  <w:p w14:paraId="28E4096D" w14:textId="77777777" w:rsidR="006E73A2" w:rsidRDefault="006E73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E0E4" w14:textId="77777777" w:rsidR="00D919D7" w:rsidRDefault="00D919D7" w:rsidP="00374FF4">
      <w:pPr>
        <w:spacing w:after="0" w:line="240" w:lineRule="auto"/>
      </w:pPr>
      <w:r>
        <w:separator/>
      </w:r>
    </w:p>
  </w:footnote>
  <w:footnote w:type="continuationSeparator" w:id="0">
    <w:p w14:paraId="09022824" w14:textId="77777777" w:rsidR="00D919D7" w:rsidRDefault="00D919D7" w:rsidP="00374FF4">
      <w:pPr>
        <w:spacing w:after="0" w:line="240" w:lineRule="auto"/>
      </w:pPr>
      <w:r>
        <w:continuationSeparator/>
      </w:r>
    </w:p>
  </w:footnote>
  <w:footnote w:id="1">
    <w:p w14:paraId="0F3DDBFB" w14:textId="77777777" w:rsidR="004D6920" w:rsidRPr="00964146" w:rsidRDefault="004D6920" w:rsidP="004D6920">
      <w:pPr>
        <w:pStyle w:val="DipnotMetni"/>
        <w:spacing w:after="0" w:line="240" w:lineRule="auto"/>
        <w:ind w:left="284" w:hanging="284"/>
        <w:rPr>
          <w:rFonts w:ascii="Arial Narrow" w:hAnsi="Arial Narrow"/>
        </w:rPr>
      </w:pPr>
      <w:r w:rsidRPr="00964146">
        <w:rPr>
          <w:rStyle w:val="DipnotBavurusu"/>
          <w:rFonts w:ascii="Arial Narrow" w:hAnsi="Arial Narrow"/>
          <w:vertAlign w:val="baseline"/>
        </w:rPr>
        <w:footnoteRef/>
      </w:r>
      <w:r w:rsidRPr="00964146">
        <w:rPr>
          <w:rFonts w:ascii="Arial Narrow" w:hAnsi="Arial Narrow"/>
        </w:rPr>
        <w:t xml:space="preserve"> </w:t>
      </w:r>
      <w:r w:rsidRPr="00964146">
        <w:rPr>
          <w:rFonts w:ascii="Arial Narrow" w:hAnsi="Arial Narrow"/>
        </w:rPr>
        <w:tab/>
        <w:t xml:space="preserve">Yargıtay 16. Ceza Dairesi 24/04/2017 T., 2015/3E., 2017/3 K. </w:t>
      </w:r>
    </w:p>
  </w:footnote>
  <w:footnote w:id="2">
    <w:p w14:paraId="532CF4A3" w14:textId="77777777" w:rsidR="004D6920" w:rsidRPr="00964146" w:rsidRDefault="004D6920" w:rsidP="004D6920">
      <w:pPr>
        <w:pStyle w:val="DIPSON"/>
        <w:keepNext/>
        <w:spacing w:line="240" w:lineRule="auto"/>
        <w:ind w:left="284" w:hanging="284"/>
        <w:rPr>
          <w:rFonts w:ascii="Arial Narrow" w:eastAsia="SimSun" w:hAnsi="Arial Narrow" w:cs="Times New Roman"/>
          <w:color w:val="auto"/>
          <w:sz w:val="20"/>
          <w:szCs w:val="20"/>
          <w:lang w:eastAsia="zh-CN"/>
        </w:rPr>
      </w:pPr>
      <w:r w:rsidRPr="00964146">
        <w:rPr>
          <w:rStyle w:val="DipnotBavurusu"/>
          <w:rFonts w:ascii="Arial Narrow" w:hAnsi="Arial Narrow"/>
          <w:color w:val="auto"/>
          <w:sz w:val="20"/>
          <w:szCs w:val="20"/>
          <w:vertAlign w:val="baseline"/>
        </w:rPr>
        <w:footnoteRef/>
      </w:r>
      <w:r w:rsidRPr="00964146">
        <w:rPr>
          <w:rFonts w:ascii="Arial Narrow" w:hAnsi="Arial Narrow" w:cs="Times New Roman"/>
          <w:color w:val="auto"/>
          <w:sz w:val="20"/>
          <w:szCs w:val="20"/>
        </w:rPr>
        <w:t xml:space="preserve"> </w:t>
      </w:r>
      <w:r w:rsidRPr="00964146">
        <w:rPr>
          <w:rFonts w:ascii="Arial Narrow" w:hAnsi="Arial Narrow" w:cs="Times New Roman"/>
          <w:color w:val="auto"/>
          <w:sz w:val="20"/>
          <w:szCs w:val="20"/>
        </w:rPr>
        <w:tab/>
        <w:t xml:space="preserve">Yargıtay Ceza Genel </w:t>
      </w:r>
      <w:r w:rsidRPr="00964146">
        <w:rPr>
          <w:rFonts w:ascii="Arial Narrow" w:eastAsia="SimSun" w:hAnsi="Arial Narrow" w:cs="Times New Roman"/>
          <w:color w:val="auto"/>
          <w:sz w:val="20"/>
          <w:szCs w:val="20"/>
          <w:lang w:eastAsia="zh-CN"/>
        </w:rPr>
        <w:t xml:space="preserve">Kurulu </w:t>
      </w:r>
      <w:r w:rsidRPr="00964146">
        <w:rPr>
          <w:rFonts w:ascii="Arial Narrow" w:hAnsi="Arial Narrow" w:cs="Times New Roman"/>
          <w:sz w:val="20"/>
          <w:szCs w:val="20"/>
          <w:lang w:eastAsia="zh-CN"/>
        </w:rPr>
        <w:t xml:space="preserve">26/9/2017 T., 2017/16.MD-956 E., 2017/370 K. </w:t>
      </w:r>
    </w:p>
  </w:footnote>
  <w:footnote w:id="3">
    <w:p w14:paraId="7EB203DA" w14:textId="77777777" w:rsidR="004D6920" w:rsidRPr="00964146" w:rsidRDefault="004D6920" w:rsidP="004D6920">
      <w:pPr>
        <w:pStyle w:val="DipnotMetni"/>
        <w:spacing w:after="0" w:line="240" w:lineRule="auto"/>
        <w:ind w:left="284" w:hanging="284"/>
        <w:rPr>
          <w:rFonts w:ascii="Arial Narrow" w:hAnsi="Arial Narrow"/>
        </w:rPr>
      </w:pPr>
      <w:r w:rsidRPr="00964146">
        <w:rPr>
          <w:rStyle w:val="DipnotBavurusu"/>
          <w:rFonts w:ascii="Arial Narrow" w:hAnsi="Arial Narrow"/>
          <w:vertAlign w:val="baseline"/>
        </w:rPr>
        <w:footnoteRef/>
      </w:r>
      <w:r w:rsidRPr="00964146">
        <w:rPr>
          <w:rFonts w:ascii="Arial Narrow" w:hAnsi="Arial Narrow"/>
        </w:rPr>
        <w:t xml:space="preserve"> </w:t>
      </w:r>
      <w:r w:rsidRPr="00964146">
        <w:rPr>
          <w:rFonts w:ascii="Arial Narrow" w:hAnsi="Arial Narrow"/>
        </w:rPr>
        <w:tab/>
        <w:t xml:space="preserve">Yargıtay 16. Ceza Dairesi 24/04/2017 T., 2015/3E., 2017/3 K. </w:t>
      </w:r>
    </w:p>
  </w:footnote>
  <w:footnote w:id="4">
    <w:p w14:paraId="0E4ABEF4" w14:textId="77777777" w:rsidR="004D6920" w:rsidRPr="00964146" w:rsidRDefault="004D6920" w:rsidP="004D6920">
      <w:pPr>
        <w:pStyle w:val="DIPSON"/>
        <w:keepNext/>
        <w:spacing w:line="240" w:lineRule="auto"/>
        <w:ind w:left="284" w:hanging="284"/>
        <w:rPr>
          <w:rFonts w:ascii="Arial Narrow" w:hAnsi="Arial Narrow" w:cs="Times New Roman"/>
          <w:color w:val="auto"/>
          <w:sz w:val="20"/>
          <w:szCs w:val="20"/>
        </w:rPr>
      </w:pPr>
      <w:r w:rsidRPr="00964146">
        <w:rPr>
          <w:rFonts w:ascii="Arial Narrow" w:hAnsi="Arial Narrow" w:cs="Times New Roman"/>
          <w:color w:val="auto"/>
          <w:sz w:val="20"/>
          <w:szCs w:val="20"/>
        </w:rPr>
        <w:footnoteRef/>
      </w:r>
      <w:r w:rsidRPr="00964146">
        <w:rPr>
          <w:rFonts w:ascii="Arial Narrow" w:hAnsi="Arial Narrow" w:cs="Times New Roman"/>
          <w:color w:val="auto"/>
          <w:sz w:val="20"/>
          <w:szCs w:val="20"/>
        </w:rPr>
        <w:tab/>
        <w:t>Yargıtay Ceza Genel Kurulu 26/09/2017 T., 2017/16. MD-956 E., 2017/370 K.</w:t>
      </w:r>
    </w:p>
  </w:footnote>
  <w:footnote w:id="5">
    <w:p w14:paraId="648C5AC0" w14:textId="77777777" w:rsidR="004D6920" w:rsidRPr="00964146" w:rsidRDefault="004D6920" w:rsidP="004D6920">
      <w:pPr>
        <w:autoSpaceDE w:val="0"/>
        <w:autoSpaceDN w:val="0"/>
        <w:adjustRightInd w:val="0"/>
        <w:spacing w:after="0" w:line="240" w:lineRule="auto"/>
        <w:ind w:left="284" w:hanging="284"/>
        <w:jc w:val="both"/>
        <w:textAlignment w:val="center"/>
        <w:rPr>
          <w:rFonts w:ascii="Arial Narrow" w:hAnsi="Arial Narrow" w:cs="Times New Roman"/>
          <w:i/>
          <w:iCs/>
          <w:sz w:val="20"/>
          <w:szCs w:val="20"/>
        </w:rPr>
      </w:pPr>
      <w:r w:rsidRPr="00964146">
        <w:rPr>
          <w:rFonts w:ascii="Arial Narrow" w:hAnsi="Arial Narrow" w:cs="Times New Roman"/>
          <w:sz w:val="20"/>
          <w:szCs w:val="20"/>
        </w:rPr>
        <w:footnoteRef/>
      </w:r>
      <w:r w:rsidRPr="00964146">
        <w:rPr>
          <w:rFonts w:ascii="Arial Narrow" w:hAnsi="Arial Narrow" w:cs="Times New Roman"/>
          <w:sz w:val="20"/>
          <w:szCs w:val="20"/>
        </w:rPr>
        <w:t xml:space="preserve"> </w:t>
      </w:r>
      <w:r w:rsidRPr="00964146">
        <w:rPr>
          <w:rFonts w:ascii="Arial Narrow" w:hAnsi="Arial Narrow" w:cs="Times New Roman"/>
          <w:sz w:val="20"/>
          <w:szCs w:val="20"/>
        </w:rPr>
        <w:tab/>
        <w:t>Y</w:t>
      </w:r>
      <w:r w:rsidRPr="00964146">
        <w:rPr>
          <w:rStyle w:val="HafifVurgulama"/>
          <w:rFonts w:ascii="Arial Narrow" w:hAnsi="Arial Narrow"/>
          <w:i w:val="0"/>
          <w:color w:val="auto"/>
          <w:sz w:val="20"/>
          <w:szCs w:val="20"/>
        </w:rPr>
        <w:t xml:space="preserve">argıtay Ceza Genel Kurulu 20/12/2018 T., 2018/16-419 E., 2018/661 K.; Kararın ilgili kısmı şöyledir: </w:t>
      </w:r>
      <w:r w:rsidRPr="00964146">
        <w:rPr>
          <w:rFonts w:ascii="Arial Narrow" w:hAnsi="Arial Narrow" w:cs="Times New Roman"/>
          <w:i/>
          <w:iCs/>
          <w:sz w:val="20"/>
          <w:szCs w:val="20"/>
        </w:rPr>
        <w:t xml:space="preserve">“Ankara Cumhuriyet Başsavcılığınca bilgilendirme amacıyla Yargıtay Ceza Genel Kuruluna sunulan Emniyet Genel Müdürlüğü Kaçakçılık ve Organize Suçlarla Mücadele (KOM) Daire Başkanlığının 11.12.2018 tarihli </w:t>
      </w:r>
      <w:r w:rsidRPr="00964146">
        <w:rPr>
          <w:rFonts w:ascii="Arial Narrow" w:hAnsi="Arial Narrow" w:cs="Times New Roman"/>
          <w:b/>
          <w:i/>
          <w:iCs/>
          <w:sz w:val="20"/>
          <w:szCs w:val="20"/>
        </w:rPr>
        <w:t>ByLock Kronoloji Raporunda,</w:t>
      </w:r>
      <w:r w:rsidRPr="00964146">
        <w:rPr>
          <w:rFonts w:ascii="Arial Narrow" w:hAnsi="Arial Narrow" w:cs="Times New Roman"/>
          <w:i/>
          <w:iCs/>
          <w:sz w:val="20"/>
          <w:szCs w:val="20"/>
        </w:rPr>
        <w:t xml:space="preserve"> </w:t>
      </w:r>
    </w:p>
    <w:p w14:paraId="778255DB" w14:textId="77777777" w:rsidR="004D6920" w:rsidRPr="00964146" w:rsidRDefault="004D6920" w:rsidP="004D6920">
      <w:pPr>
        <w:autoSpaceDE w:val="0"/>
        <w:autoSpaceDN w:val="0"/>
        <w:adjustRightInd w:val="0"/>
        <w:spacing w:after="0" w:line="240" w:lineRule="auto"/>
        <w:ind w:left="284"/>
        <w:jc w:val="both"/>
        <w:textAlignment w:val="center"/>
        <w:rPr>
          <w:rFonts w:ascii="Arial Narrow" w:hAnsi="Arial Narrow" w:cs="Times New Roman"/>
          <w:i/>
          <w:iCs/>
          <w:sz w:val="20"/>
          <w:szCs w:val="20"/>
        </w:rPr>
      </w:pPr>
      <w:r w:rsidRPr="00964146">
        <w:rPr>
          <w:rFonts w:ascii="Arial Narrow" w:hAnsi="Arial Narrow" w:cs="Times New Roman"/>
          <w:i/>
          <w:iCs/>
          <w:sz w:val="20"/>
          <w:szCs w:val="20"/>
        </w:rPr>
        <w:t xml:space="preserve">- MİT tarafından Ankara Cumhuriyet Başsavcılığına kurulan bilgisayarda yer alan </w:t>
      </w:r>
      <w:r w:rsidRPr="00964146">
        <w:rPr>
          <w:rFonts w:ascii="Arial Narrow" w:hAnsi="Arial Narrow" w:cs="Times New Roman"/>
          <w:b/>
          <w:i/>
          <w:iCs/>
          <w:sz w:val="20"/>
          <w:szCs w:val="20"/>
        </w:rPr>
        <w:t>BYLOCK VERİLERİNİN 29.11.2016 TARİHİNDE KOM GÖREVLİLERİNCE İMAJI ALINARAK</w:t>
      </w:r>
      <w:r w:rsidRPr="00964146">
        <w:rPr>
          <w:rFonts w:ascii="Arial Narrow" w:hAnsi="Arial Narrow" w:cs="Times New Roman"/>
          <w:i/>
          <w:iCs/>
          <w:sz w:val="20"/>
          <w:szCs w:val="20"/>
        </w:rPr>
        <w:t xml:space="preserve"> KOM Daire Başkanlığına gönderildiği, </w:t>
      </w:r>
    </w:p>
    <w:p w14:paraId="5E24B827" w14:textId="77777777" w:rsidR="004D6920" w:rsidRPr="00964146" w:rsidRDefault="004D6920" w:rsidP="004D6920">
      <w:pPr>
        <w:autoSpaceDE w:val="0"/>
        <w:autoSpaceDN w:val="0"/>
        <w:adjustRightInd w:val="0"/>
        <w:spacing w:after="0" w:line="240" w:lineRule="auto"/>
        <w:ind w:left="284"/>
        <w:jc w:val="both"/>
        <w:textAlignment w:val="center"/>
        <w:rPr>
          <w:rFonts w:ascii="Arial Narrow" w:hAnsi="Arial Narrow" w:cs="Times New Roman"/>
          <w:i/>
          <w:iCs/>
          <w:sz w:val="20"/>
          <w:szCs w:val="20"/>
        </w:rPr>
      </w:pPr>
      <w:r w:rsidRPr="00964146">
        <w:rPr>
          <w:rFonts w:ascii="Arial Narrow" w:hAnsi="Arial Narrow" w:cs="Times New Roman"/>
          <w:i/>
          <w:iCs/>
          <w:sz w:val="20"/>
          <w:szCs w:val="20"/>
        </w:rPr>
        <w:t xml:space="preserve">- Bu verilerin incelenerek adli soruşturma ve kovuşturmalarda kullanılabilmesi için rapor hazırlanması amacıyla </w:t>
      </w:r>
      <w:r w:rsidRPr="00964146">
        <w:rPr>
          <w:rFonts w:ascii="Arial Narrow" w:hAnsi="Arial Narrow" w:cs="Times New Roman"/>
          <w:b/>
          <w:i/>
          <w:iCs/>
          <w:sz w:val="20"/>
          <w:szCs w:val="20"/>
        </w:rPr>
        <w:t>01.12.2016 tarihinde</w:t>
      </w:r>
      <w:r w:rsidRPr="00964146">
        <w:rPr>
          <w:rFonts w:ascii="Arial Narrow" w:hAnsi="Arial Narrow" w:cs="Times New Roman"/>
          <w:i/>
          <w:iCs/>
          <w:sz w:val="20"/>
          <w:szCs w:val="20"/>
        </w:rPr>
        <w:t xml:space="preserve"> KOM, Terörle Mücadele (TEM), İstihbarat ve Siber Suçlarla Mücadele Daire Başkanlıklarınca görevlendirilen personelden oluşan çalışma grubu kurulduğu ve </w:t>
      </w:r>
      <w:r w:rsidRPr="00964146">
        <w:rPr>
          <w:rFonts w:ascii="Arial Narrow" w:hAnsi="Arial Narrow" w:cs="Times New Roman"/>
          <w:b/>
          <w:i/>
          <w:iCs/>
          <w:sz w:val="20"/>
          <w:szCs w:val="20"/>
        </w:rPr>
        <w:t>02.12.2016 tarihinde verilerin incelenmeye başlandığı,</w:t>
      </w:r>
      <w:r w:rsidRPr="00964146">
        <w:rPr>
          <w:rFonts w:ascii="Arial Narrow" w:hAnsi="Arial Narrow" w:cs="Times New Roman"/>
          <w:i/>
          <w:iCs/>
          <w:sz w:val="20"/>
          <w:szCs w:val="20"/>
        </w:rPr>
        <w:t xml:space="preserve"> </w:t>
      </w:r>
    </w:p>
    <w:p w14:paraId="41B9AB46" w14:textId="77777777" w:rsidR="004D6920" w:rsidRPr="00964146" w:rsidRDefault="004D6920" w:rsidP="004D6920">
      <w:pPr>
        <w:pStyle w:val="Default"/>
        <w:keepNext/>
        <w:ind w:left="284"/>
        <w:jc w:val="both"/>
        <w:rPr>
          <w:rFonts w:ascii="Arial Narrow" w:hAnsi="Arial Narrow"/>
          <w:color w:val="auto"/>
          <w:sz w:val="20"/>
          <w:szCs w:val="20"/>
        </w:rPr>
      </w:pPr>
      <w:r w:rsidRPr="00964146">
        <w:rPr>
          <w:rFonts w:ascii="Arial Narrow" w:hAnsi="Arial Narrow"/>
          <w:i/>
          <w:iCs/>
          <w:sz w:val="20"/>
          <w:szCs w:val="20"/>
        </w:rPr>
        <w:t xml:space="preserve">- Ankara Cumhuriyet Başsavcılığının talimatıyla ByLock sunucusuna ait 9 IP adresine bağlanan </w:t>
      </w:r>
      <w:r w:rsidRPr="00964146">
        <w:rPr>
          <w:rFonts w:ascii="Arial Narrow" w:hAnsi="Arial Narrow"/>
          <w:b/>
          <w:i/>
          <w:iCs/>
          <w:sz w:val="20"/>
          <w:szCs w:val="20"/>
        </w:rPr>
        <w:t>abonelere ilişkin 129.862 satırlık “ByLock abone listesi” ve MİT tarafından hazırlanan 88 sayfalık “MİT teknik raporu”nun</w:t>
      </w:r>
      <w:r w:rsidRPr="00964146">
        <w:rPr>
          <w:rFonts w:ascii="Arial Narrow" w:hAnsi="Arial Narrow"/>
          <w:i/>
          <w:iCs/>
          <w:sz w:val="20"/>
          <w:szCs w:val="20"/>
        </w:rPr>
        <w:t xml:space="preserve"> 16.12.2016 tarihinde KOM Daire Başkanlığınca teslim alındığı”</w:t>
      </w:r>
    </w:p>
  </w:footnote>
  <w:footnote w:id="6">
    <w:p w14:paraId="0AEC86FB" w14:textId="77777777" w:rsidR="004D6920" w:rsidRPr="00964146" w:rsidRDefault="004D6920" w:rsidP="004D6920">
      <w:pPr>
        <w:pStyle w:val="DipnotMetni"/>
        <w:spacing w:after="0" w:line="240" w:lineRule="auto"/>
        <w:ind w:left="284" w:hanging="284"/>
        <w:rPr>
          <w:rFonts w:ascii="Arial Narrow" w:hAnsi="Arial Narrow"/>
        </w:rPr>
      </w:pPr>
      <w:r w:rsidRPr="00964146">
        <w:rPr>
          <w:rStyle w:val="DipnotBavurusu"/>
          <w:rFonts w:ascii="Arial Narrow" w:hAnsi="Arial Narrow"/>
          <w:vertAlign w:val="baseline"/>
        </w:rPr>
        <w:footnoteRef/>
      </w:r>
      <w:r w:rsidRPr="00964146">
        <w:rPr>
          <w:rFonts w:ascii="Arial Narrow" w:hAnsi="Arial Narrow"/>
        </w:rPr>
        <w:t xml:space="preserve"> </w:t>
      </w:r>
      <w:r w:rsidRPr="00964146">
        <w:rPr>
          <w:rFonts w:ascii="Arial Narrow" w:hAnsi="Arial Narrow"/>
        </w:rPr>
        <w:tab/>
        <w:t>Bylock bilgi ve verilerinin istihbari çalışma sonucu elde edildiğine ilişkin MİT tarafından yapılan basın açıklaması için bkz.: https://www.mit.gov.tr/basin60.html</w:t>
      </w:r>
    </w:p>
  </w:footnote>
  <w:footnote w:id="7">
    <w:p w14:paraId="2F0309E6" w14:textId="77777777" w:rsidR="004D6920" w:rsidRPr="00964146" w:rsidRDefault="004D6920" w:rsidP="004D6920">
      <w:pPr>
        <w:pStyle w:val="DipnotMetni"/>
        <w:spacing w:after="0" w:line="240" w:lineRule="auto"/>
        <w:ind w:left="284" w:hanging="284"/>
        <w:rPr>
          <w:rFonts w:ascii="Arial Narrow" w:hAnsi="Arial Narrow"/>
        </w:rPr>
      </w:pPr>
      <w:r w:rsidRPr="00964146">
        <w:rPr>
          <w:rStyle w:val="DipnotBavurusu"/>
          <w:rFonts w:ascii="Arial Narrow" w:hAnsi="Arial Narrow"/>
          <w:vertAlign w:val="baseline"/>
        </w:rPr>
        <w:footnoteRef/>
      </w:r>
      <w:r w:rsidRPr="00964146">
        <w:rPr>
          <w:rFonts w:ascii="Arial Narrow" w:hAnsi="Arial Narrow"/>
        </w:rPr>
        <w:t xml:space="preserve"> </w:t>
      </w:r>
      <w:r w:rsidRPr="00964146">
        <w:rPr>
          <w:rFonts w:ascii="Arial Narrow" w:hAnsi="Arial Narrow"/>
        </w:rPr>
        <w:tab/>
        <w:t xml:space="preserve">AYM’nin 30/12/2015 T., 2014/122 E., 2015/123 K. </w:t>
      </w:r>
    </w:p>
  </w:footnote>
  <w:footnote w:id="8">
    <w:p w14:paraId="229F97AB" w14:textId="77777777" w:rsidR="004D6920" w:rsidRPr="00964146" w:rsidRDefault="004D6920" w:rsidP="004D6920">
      <w:pPr>
        <w:pStyle w:val="DIPSON"/>
        <w:keepNext/>
        <w:spacing w:line="240" w:lineRule="auto"/>
        <w:ind w:left="284" w:hanging="284"/>
        <w:rPr>
          <w:rFonts w:ascii="Arial Narrow" w:hAnsi="Arial Narrow" w:cs="Times New Roman"/>
          <w:color w:val="auto"/>
          <w:sz w:val="20"/>
          <w:szCs w:val="20"/>
        </w:rPr>
      </w:pPr>
      <w:r w:rsidRPr="00964146">
        <w:rPr>
          <w:rStyle w:val="DipnotBavurusu"/>
          <w:rFonts w:ascii="Arial Narrow" w:hAnsi="Arial Narrow"/>
          <w:sz w:val="20"/>
          <w:szCs w:val="20"/>
          <w:vertAlign w:val="baseline"/>
        </w:rPr>
        <w:footnoteRef/>
      </w:r>
      <w:r w:rsidRPr="00964146">
        <w:rPr>
          <w:rFonts w:ascii="Arial Narrow" w:hAnsi="Arial Narrow" w:cs="Times New Roman"/>
          <w:sz w:val="20"/>
          <w:szCs w:val="20"/>
        </w:rPr>
        <w:t xml:space="preserve"> </w:t>
      </w:r>
      <w:r w:rsidRPr="00964146">
        <w:rPr>
          <w:rFonts w:ascii="Arial Narrow" w:hAnsi="Arial Narrow" w:cs="Times New Roman"/>
          <w:sz w:val="20"/>
          <w:szCs w:val="20"/>
        </w:rPr>
        <w:tab/>
      </w:r>
      <w:r w:rsidRPr="00964146">
        <w:rPr>
          <w:rFonts w:ascii="Arial Narrow" w:hAnsi="Arial Narrow" w:cs="Times New Roman"/>
          <w:color w:val="auto"/>
          <w:sz w:val="20"/>
          <w:szCs w:val="20"/>
        </w:rPr>
        <w:t>Yargıtay Ceza Genel Kurulu 25/11/2014 T., 2013/9-841 E., 2014/513 K.</w:t>
      </w:r>
    </w:p>
  </w:footnote>
  <w:footnote w:id="9">
    <w:p w14:paraId="5F8A502A" w14:textId="77777777" w:rsidR="004D6920" w:rsidRPr="00964146" w:rsidRDefault="004D6920" w:rsidP="004D6920">
      <w:pPr>
        <w:pStyle w:val="DIPSON"/>
        <w:keepNext/>
        <w:spacing w:line="240" w:lineRule="auto"/>
        <w:ind w:left="284" w:hanging="284"/>
        <w:rPr>
          <w:rFonts w:ascii="Arial Narrow" w:hAnsi="Arial Narrow" w:cs="Times New Roman"/>
          <w:color w:val="auto"/>
          <w:sz w:val="20"/>
          <w:szCs w:val="20"/>
        </w:rPr>
      </w:pPr>
      <w:r w:rsidRPr="00964146">
        <w:rPr>
          <w:rStyle w:val="DipnotBavurusu"/>
          <w:rFonts w:ascii="Arial Narrow" w:hAnsi="Arial Narrow"/>
          <w:color w:val="auto"/>
          <w:sz w:val="20"/>
          <w:szCs w:val="20"/>
          <w:vertAlign w:val="baseline"/>
        </w:rPr>
        <w:footnoteRef/>
      </w:r>
      <w:r w:rsidRPr="00964146">
        <w:rPr>
          <w:rFonts w:ascii="Arial Narrow" w:hAnsi="Arial Narrow" w:cs="Times New Roman"/>
          <w:color w:val="auto"/>
          <w:sz w:val="20"/>
          <w:szCs w:val="20"/>
        </w:rPr>
        <w:t xml:space="preserve"> </w:t>
      </w:r>
      <w:r w:rsidRPr="00964146">
        <w:rPr>
          <w:rFonts w:ascii="Arial Narrow" w:hAnsi="Arial Narrow" w:cs="Times New Roman"/>
          <w:color w:val="auto"/>
          <w:sz w:val="20"/>
          <w:szCs w:val="20"/>
        </w:rPr>
        <w:tab/>
      </w:r>
      <w:r w:rsidRPr="00964146">
        <w:rPr>
          <w:rFonts w:ascii="Arial Narrow" w:hAnsi="Arial Narrow" w:cs="Times New Roman"/>
          <w:color w:val="auto"/>
          <w:spacing w:val="-2"/>
          <w:sz w:val="20"/>
          <w:szCs w:val="20"/>
        </w:rPr>
        <w:t>Yargıtay Ceza Genel Kurulu 14/03/2017 T., 2016/20-348E., 2017/140 K.;</w:t>
      </w:r>
      <w:r w:rsidRPr="00964146">
        <w:rPr>
          <w:rFonts w:ascii="Arial Narrow" w:hAnsi="Arial Narrow" w:cs="Times New Roman"/>
          <w:color w:val="auto"/>
          <w:sz w:val="20"/>
          <w:szCs w:val="20"/>
        </w:rPr>
        <w:t>17/11/2009 T., 2009/160 E., 2009/264K.</w:t>
      </w:r>
    </w:p>
  </w:footnote>
  <w:footnote w:id="10">
    <w:p w14:paraId="58323B51" w14:textId="77777777" w:rsidR="004D6920" w:rsidRPr="00964146" w:rsidRDefault="004D6920" w:rsidP="004D6920">
      <w:pPr>
        <w:pStyle w:val="DIPSON"/>
        <w:keepNext/>
        <w:spacing w:line="240" w:lineRule="auto"/>
        <w:ind w:left="284" w:hanging="284"/>
        <w:rPr>
          <w:rFonts w:ascii="Arial Narrow" w:hAnsi="Arial Narrow" w:cs="Times New Roman"/>
          <w:color w:val="auto"/>
          <w:sz w:val="20"/>
          <w:szCs w:val="20"/>
        </w:rPr>
      </w:pPr>
      <w:r w:rsidRPr="00964146">
        <w:rPr>
          <w:rFonts w:ascii="Arial Narrow" w:hAnsi="Arial Narrow" w:cs="Times New Roman"/>
          <w:color w:val="auto"/>
          <w:sz w:val="20"/>
          <w:szCs w:val="20"/>
        </w:rPr>
        <w:footnoteRef/>
      </w:r>
      <w:r w:rsidRPr="00964146">
        <w:rPr>
          <w:rFonts w:ascii="Arial Narrow" w:hAnsi="Arial Narrow" w:cs="Times New Roman"/>
          <w:color w:val="auto"/>
          <w:sz w:val="20"/>
          <w:szCs w:val="20"/>
        </w:rPr>
        <w:t xml:space="preserve"> </w:t>
      </w:r>
      <w:r w:rsidRPr="00964146">
        <w:rPr>
          <w:rFonts w:ascii="Arial Narrow" w:hAnsi="Arial Narrow" w:cs="Times New Roman"/>
          <w:color w:val="auto"/>
          <w:sz w:val="20"/>
          <w:szCs w:val="20"/>
        </w:rPr>
        <w:tab/>
        <w:t>AYM’nin Orhan Kılıç Kararı, (Genel Kurul), B. No:2014/4704, 01/02/2018.</w:t>
      </w:r>
    </w:p>
  </w:footnote>
  <w:footnote w:id="11">
    <w:p w14:paraId="01EF076F" w14:textId="77777777" w:rsidR="004D6920" w:rsidRPr="00964146" w:rsidRDefault="004D6920" w:rsidP="004D6920">
      <w:pPr>
        <w:pStyle w:val="DipnotMetni"/>
        <w:spacing w:after="0" w:line="240" w:lineRule="auto"/>
        <w:ind w:left="284" w:hanging="284"/>
        <w:rPr>
          <w:rFonts w:ascii="Arial Narrow" w:hAnsi="Arial Narrow"/>
        </w:rPr>
      </w:pPr>
      <w:r w:rsidRPr="00964146">
        <w:rPr>
          <w:rStyle w:val="DipnotBavurusu"/>
          <w:rFonts w:ascii="Arial Narrow" w:hAnsi="Arial Narrow"/>
          <w:vertAlign w:val="baseline"/>
        </w:rPr>
        <w:footnoteRef/>
      </w:r>
      <w:r w:rsidRPr="00964146">
        <w:rPr>
          <w:rFonts w:ascii="Arial Narrow" w:hAnsi="Arial Narrow"/>
        </w:rPr>
        <w:t xml:space="preserve"> </w:t>
      </w:r>
      <w:r w:rsidRPr="00964146">
        <w:rPr>
          <w:rFonts w:ascii="Arial Narrow" w:hAnsi="Arial Narrow"/>
          <w:i/>
        </w:rPr>
        <w:t xml:space="preserve"> </w:t>
      </w:r>
      <w:r w:rsidRPr="00964146">
        <w:rPr>
          <w:rFonts w:ascii="Arial Narrow" w:hAnsi="Arial Narrow"/>
          <w:i/>
        </w:rPr>
        <w:tab/>
        <w:t xml:space="preserve"> </w:t>
      </w:r>
      <w:r w:rsidRPr="00964146">
        <w:rPr>
          <w:rFonts w:ascii="Arial Narrow" w:hAnsi="Arial Narrow"/>
        </w:rPr>
        <w:t>Yargıtay Ceza Genel Kurulu 17.11.1986 T., 1986/6-398 E., 1986/522 K. </w:t>
      </w:r>
    </w:p>
  </w:footnote>
  <w:footnote w:id="12">
    <w:p w14:paraId="49FCCDEB" w14:textId="77777777" w:rsidR="004D6920" w:rsidRPr="00964146" w:rsidRDefault="004D6920" w:rsidP="004D6920">
      <w:pPr>
        <w:pStyle w:val="DipnotMetni"/>
        <w:spacing w:after="0" w:line="240" w:lineRule="auto"/>
        <w:ind w:left="284" w:hanging="284"/>
        <w:rPr>
          <w:rFonts w:ascii="Arial Narrow" w:hAnsi="Arial Narrow"/>
        </w:rPr>
      </w:pPr>
      <w:r w:rsidRPr="00964146">
        <w:rPr>
          <w:rStyle w:val="DipnotBavurusu"/>
          <w:rFonts w:ascii="Arial Narrow" w:hAnsi="Arial Narrow"/>
          <w:vertAlign w:val="baseline"/>
        </w:rPr>
        <w:footnoteRef/>
      </w:r>
      <w:r w:rsidRPr="00964146">
        <w:rPr>
          <w:rFonts w:ascii="Arial Narrow" w:hAnsi="Arial Narrow"/>
        </w:rPr>
        <w:t xml:space="preserve"> </w:t>
      </w:r>
      <w:r w:rsidRPr="00964146">
        <w:rPr>
          <w:rFonts w:ascii="Arial Narrow" w:hAnsi="Arial Narrow"/>
        </w:rPr>
        <w:tab/>
      </w:r>
      <w:r w:rsidRPr="00964146">
        <w:rPr>
          <w:rFonts w:ascii="Arial Narrow" w:hAnsi="Arial Narrow"/>
          <w:iCs/>
        </w:rPr>
        <w:t>Yargıtay 16. Ceza Dairesi 12/9/2018 T., 2018/2944 E., 2018/2741 K.</w:t>
      </w:r>
    </w:p>
  </w:footnote>
  <w:footnote w:id="13">
    <w:p w14:paraId="02748ABE" w14:textId="77777777" w:rsidR="004D6920" w:rsidRPr="00964146" w:rsidRDefault="004D6920" w:rsidP="004D6920">
      <w:pPr>
        <w:pStyle w:val="NormalWeb"/>
        <w:spacing w:before="0" w:beforeAutospacing="0" w:after="0" w:afterAutospacing="0"/>
        <w:ind w:left="284" w:hanging="284"/>
        <w:jc w:val="both"/>
        <w:rPr>
          <w:rFonts w:ascii="Arial Narrow" w:eastAsia="Andale Sans UI" w:hAnsi="Arial Narrow"/>
          <w:kern w:val="1"/>
          <w:sz w:val="20"/>
          <w:szCs w:val="20"/>
        </w:rPr>
      </w:pPr>
      <w:r w:rsidRPr="00964146">
        <w:rPr>
          <w:rStyle w:val="DipnotBavurusu"/>
          <w:rFonts w:ascii="Arial Narrow" w:hAnsi="Arial Narrow"/>
          <w:sz w:val="20"/>
          <w:szCs w:val="20"/>
          <w:vertAlign w:val="baseline"/>
        </w:rPr>
        <w:footnoteRef/>
      </w:r>
      <w:r w:rsidRPr="00964146">
        <w:rPr>
          <w:rFonts w:ascii="Arial Narrow" w:hAnsi="Arial Narrow"/>
          <w:sz w:val="20"/>
          <w:szCs w:val="20"/>
        </w:rPr>
        <w:t xml:space="preserve"> </w:t>
      </w:r>
      <w:r w:rsidRPr="00964146">
        <w:rPr>
          <w:rFonts w:ascii="Arial Narrow" w:hAnsi="Arial Narrow"/>
          <w:i/>
          <w:sz w:val="20"/>
          <w:szCs w:val="20"/>
        </w:rPr>
        <w:tab/>
      </w:r>
      <w:r w:rsidRPr="00964146">
        <w:rPr>
          <w:rFonts w:ascii="Arial Narrow" w:hAnsi="Arial Narrow"/>
          <w:sz w:val="20"/>
          <w:szCs w:val="20"/>
        </w:rPr>
        <w:t>Yargıtay 9. Ceza Dairesi 28/6/2010 T., 2010/4770 E., 2010/7689 K.; 16 Ceza Dairesi 25/5/2015 T., 2015/1093 E., 2015/1439 K.; Yargıtay 6. Ceza Dairesi 07/02/2008 T., 2008/4964 E., 2008/14382 K.</w:t>
      </w:r>
    </w:p>
  </w:footnote>
  <w:footnote w:id="14">
    <w:p w14:paraId="4BFB4163" w14:textId="77777777" w:rsidR="004D6920" w:rsidRPr="00964146" w:rsidRDefault="004D6920" w:rsidP="004D6920">
      <w:pPr>
        <w:pStyle w:val="DipnotMetni"/>
        <w:spacing w:after="0" w:line="240" w:lineRule="auto"/>
        <w:ind w:left="284" w:hanging="284"/>
        <w:rPr>
          <w:rFonts w:ascii="Arial Narrow" w:hAnsi="Arial Narrow"/>
        </w:rPr>
      </w:pPr>
      <w:r w:rsidRPr="00964146">
        <w:rPr>
          <w:rStyle w:val="DipnotBavurusu"/>
          <w:rFonts w:ascii="Arial Narrow" w:hAnsi="Arial Narrow"/>
          <w:vertAlign w:val="baseline"/>
        </w:rPr>
        <w:footnoteRef/>
      </w:r>
      <w:r w:rsidRPr="00964146">
        <w:rPr>
          <w:rFonts w:ascii="Arial Narrow" w:hAnsi="Arial Narrow"/>
        </w:rPr>
        <w:t xml:space="preserve"> </w:t>
      </w:r>
      <w:r w:rsidRPr="00964146">
        <w:rPr>
          <w:rFonts w:ascii="Arial Narrow" w:hAnsi="Arial Narrow"/>
        </w:rPr>
        <w:tab/>
        <w:t xml:space="preserve">Yargıtay Ceza Genel Kurulu 17/12/1996 T.,  1996/10-275 E., 1996/288 K. </w:t>
      </w:r>
    </w:p>
  </w:footnote>
  <w:footnote w:id="15">
    <w:p w14:paraId="01084CCF" w14:textId="77777777" w:rsidR="004D6920" w:rsidRPr="00964146" w:rsidRDefault="004D6920" w:rsidP="004D6920">
      <w:pPr>
        <w:pStyle w:val="DipnotMetni"/>
        <w:spacing w:after="0" w:line="240" w:lineRule="auto"/>
        <w:ind w:left="284" w:hanging="284"/>
        <w:rPr>
          <w:rFonts w:ascii="Arial Narrow" w:hAnsi="Arial Narrow"/>
        </w:rPr>
      </w:pPr>
      <w:r w:rsidRPr="00964146">
        <w:rPr>
          <w:rStyle w:val="DipnotBavurusu"/>
          <w:rFonts w:ascii="Arial Narrow" w:hAnsi="Arial Narrow"/>
          <w:vertAlign w:val="baseline"/>
        </w:rPr>
        <w:footnoteRef/>
      </w:r>
      <w:r w:rsidRPr="00964146">
        <w:rPr>
          <w:rFonts w:ascii="Arial Narrow" w:hAnsi="Arial Narrow"/>
        </w:rPr>
        <w:t xml:space="preserve"> </w:t>
      </w:r>
      <w:r w:rsidRPr="00964146">
        <w:rPr>
          <w:rFonts w:ascii="Arial Narrow" w:hAnsi="Arial Narrow"/>
        </w:rPr>
        <w:tab/>
        <w:t xml:space="preserve">Yargıtay Ceza Genel Kurulu 26/05/1998 T., 1998/1-110 E., 1998/181 K. </w:t>
      </w:r>
    </w:p>
  </w:footnote>
  <w:footnote w:id="16">
    <w:p w14:paraId="36776383" w14:textId="77777777" w:rsidR="004D6920" w:rsidRPr="00964146" w:rsidRDefault="004D6920" w:rsidP="004D6920">
      <w:pPr>
        <w:pStyle w:val="DipnotMetni"/>
        <w:spacing w:after="0" w:line="240" w:lineRule="auto"/>
        <w:ind w:left="284" w:hanging="284"/>
        <w:rPr>
          <w:rFonts w:ascii="Arial Narrow" w:hAnsi="Arial Narrow"/>
        </w:rPr>
      </w:pPr>
      <w:r w:rsidRPr="00964146">
        <w:rPr>
          <w:rStyle w:val="DipnotBavurusu"/>
          <w:rFonts w:ascii="Arial Narrow" w:hAnsi="Arial Narrow"/>
          <w:vertAlign w:val="baseline"/>
        </w:rPr>
        <w:footnoteRef/>
      </w:r>
      <w:r w:rsidRPr="00964146">
        <w:rPr>
          <w:rFonts w:ascii="Arial Narrow" w:hAnsi="Arial Narrow"/>
        </w:rPr>
        <w:t xml:space="preserve">  </w:t>
      </w:r>
      <w:r w:rsidRPr="00964146">
        <w:rPr>
          <w:rFonts w:ascii="Arial Narrow" w:hAnsi="Arial Narrow"/>
        </w:rPr>
        <w:tab/>
      </w:r>
      <w:r w:rsidRPr="00964146">
        <w:rPr>
          <w:rFonts w:ascii="Arial Narrow" w:hAnsi="Arial Narrow"/>
          <w:i/>
        </w:rPr>
        <w:t>Van Mechelen ve Diğerleri/Hollanda</w:t>
      </w:r>
      <w:r w:rsidRPr="00964146">
        <w:rPr>
          <w:rFonts w:ascii="Arial Narrow" w:hAnsi="Arial Narrow"/>
        </w:rPr>
        <w:t xml:space="preserve">, B. No: 22056/93, 23/4/1997, </w:t>
      </w:r>
      <w:r w:rsidRPr="00964146">
        <w:rPr>
          <w:rFonts w:ascii="Arial Narrow" w:hAnsi="Arial Narrow"/>
          <w:color w:val="000000"/>
          <w:shd w:val="clear" w:color="auto" w:fill="FFFFFF"/>
        </w:rPr>
        <w:t xml:space="preserve">§§ </w:t>
      </w:r>
      <w:r w:rsidRPr="00964146">
        <w:rPr>
          <w:rFonts w:ascii="Arial Narrow" w:hAnsi="Arial Narrow"/>
        </w:rPr>
        <w:t xml:space="preserve">53-54; </w:t>
      </w:r>
      <w:r w:rsidRPr="00964146">
        <w:rPr>
          <w:rFonts w:ascii="Arial Narrow" w:hAnsi="Arial Narrow"/>
          <w:i/>
        </w:rPr>
        <w:t>Labita/İtalya</w:t>
      </w:r>
      <w:r w:rsidRPr="00964146">
        <w:rPr>
          <w:rFonts w:ascii="Arial Narrow" w:hAnsi="Arial Narrow"/>
        </w:rPr>
        <w:t xml:space="preserve">, B. No: 26772/95, 06/4/2000, </w:t>
      </w:r>
      <w:r w:rsidRPr="00964146">
        <w:rPr>
          <w:rFonts w:ascii="Arial Narrow" w:hAnsi="Arial Narrow"/>
          <w:color w:val="000000"/>
          <w:shd w:val="clear" w:color="auto" w:fill="FFFFFF"/>
        </w:rPr>
        <w:t>§§</w:t>
      </w:r>
      <w:r w:rsidRPr="00964146">
        <w:rPr>
          <w:rFonts w:ascii="Arial Narrow" w:hAnsi="Arial Narrow"/>
        </w:rPr>
        <w:t xml:space="preserve"> 156 vd; </w:t>
      </w:r>
      <w:r w:rsidRPr="00964146">
        <w:rPr>
          <w:rFonts w:ascii="Arial Narrow" w:hAnsi="Arial Narrow"/>
          <w:i/>
        </w:rPr>
        <w:t>Adamco/Slovakya</w:t>
      </w:r>
      <w:r w:rsidRPr="00964146">
        <w:rPr>
          <w:rFonts w:ascii="Arial Narrow" w:hAnsi="Arial Narrow"/>
        </w:rPr>
        <w:t xml:space="preserve">, B. No: 45084/14, 12/11/2019, </w:t>
      </w:r>
      <w:r w:rsidRPr="00964146">
        <w:rPr>
          <w:rFonts w:ascii="Arial Narrow" w:hAnsi="Arial Narrow"/>
          <w:color w:val="000000"/>
          <w:shd w:val="clear" w:color="auto" w:fill="FFFFFF"/>
        </w:rPr>
        <w:t>§§ 68-71.</w:t>
      </w:r>
    </w:p>
  </w:footnote>
  <w:footnote w:id="17">
    <w:p w14:paraId="19B63DED" w14:textId="77777777" w:rsidR="006E73A2" w:rsidRPr="00AC34C4" w:rsidRDefault="006E73A2" w:rsidP="00B95C04">
      <w:pPr>
        <w:pStyle w:val="DipnotMetni"/>
        <w:spacing w:after="0" w:line="240" w:lineRule="auto"/>
        <w:ind w:left="284" w:hanging="284"/>
        <w:rPr>
          <w:sz w:val="18"/>
          <w:szCs w:val="18"/>
        </w:rPr>
      </w:pPr>
      <w:r w:rsidRPr="00AC34C4">
        <w:rPr>
          <w:rStyle w:val="DipnotBavurusu"/>
          <w:rFonts w:ascii="Times New Roman" w:hAnsi="Times New Roman"/>
          <w:sz w:val="18"/>
          <w:szCs w:val="18"/>
          <w:vertAlign w:val="baseline"/>
        </w:rPr>
        <w:footnoteRef/>
      </w:r>
      <w:r w:rsidRPr="00AC34C4">
        <w:rPr>
          <w:sz w:val="18"/>
          <w:szCs w:val="18"/>
        </w:rPr>
        <w:t xml:space="preserve">   Yargıtay 16. Ceza Dairesinin 21/10/2019 T., 2019/3373 E., 2019/6418 K. sayılı kararı</w:t>
      </w:r>
    </w:p>
  </w:footnote>
  <w:footnote w:id="18">
    <w:p w14:paraId="7F725E79" w14:textId="77777777" w:rsidR="006E73A2" w:rsidRPr="00AC34C4" w:rsidRDefault="006E73A2" w:rsidP="00B95C04">
      <w:pPr>
        <w:pStyle w:val="DipnotMetni"/>
        <w:spacing w:after="0" w:line="240" w:lineRule="auto"/>
        <w:ind w:left="284" w:hanging="284"/>
        <w:rPr>
          <w:sz w:val="18"/>
          <w:szCs w:val="18"/>
        </w:rPr>
      </w:pPr>
      <w:r w:rsidRPr="00AC34C4">
        <w:rPr>
          <w:rStyle w:val="DipnotBavurusu"/>
          <w:rFonts w:ascii="Times New Roman" w:hAnsi="Times New Roman"/>
          <w:sz w:val="18"/>
          <w:szCs w:val="18"/>
          <w:vertAlign w:val="baseline"/>
        </w:rPr>
        <w:footnoteRef/>
      </w:r>
      <w:r w:rsidRPr="00AC34C4">
        <w:rPr>
          <w:sz w:val="18"/>
          <w:szCs w:val="18"/>
        </w:rPr>
        <w:t xml:space="preserve">  AYM’nin Sencer Başat ve diğerleri kararı, B. No: 2013/7800, 18/6/2014; AYM’nin Yankı Bağcıoğlu ve diğerleri kararı, B. No: 2014/253, 09/01/2015</w:t>
      </w:r>
    </w:p>
  </w:footnote>
  <w:footnote w:id="19">
    <w:p w14:paraId="619F3CB2" w14:textId="77777777" w:rsidR="006E73A2" w:rsidRPr="00AC34C4" w:rsidRDefault="006E73A2" w:rsidP="00B95C04">
      <w:pPr>
        <w:pStyle w:val="DipnotMetni"/>
        <w:spacing w:after="0" w:line="240" w:lineRule="auto"/>
        <w:ind w:left="284" w:hanging="284"/>
        <w:rPr>
          <w:sz w:val="18"/>
          <w:szCs w:val="18"/>
        </w:rPr>
      </w:pPr>
      <w:r w:rsidRPr="00AC34C4">
        <w:rPr>
          <w:rStyle w:val="DipnotBavurusu"/>
          <w:rFonts w:ascii="Times New Roman" w:hAnsi="Times New Roman"/>
          <w:sz w:val="18"/>
          <w:szCs w:val="18"/>
          <w:vertAlign w:val="baseline"/>
        </w:rPr>
        <w:footnoteRef/>
      </w:r>
      <w:r w:rsidRPr="00AC34C4">
        <w:rPr>
          <w:sz w:val="18"/>
          <w:szCs w:val="18"/>
        </w:rPr>
        <w:t xml:space="preserve"> Bilgilerin elde edilişi ve içeriğindeki çelişki ve hukuka aykırılıklar için ayrıntılı çalışmalar için bkz. https://www.hukukibilgiplatformu.com/ </w:t>
      </w:r>
    </w:p>
  </w:footnote>
  <w:footnote w:id="20">
    <w:p w14:paraId="34E85281" w14:textId="02642F2D" w:rsidR="006E73A2" w:rsidRPr="00AC34C4" w:rsidRDefault="006E73A2" w:rsidP="00B95C04">
      <w:pPr>
        <w:pStyle w:val="DipnotMetni"/>
        <w:spacing w:after="0" w:line="240" w:lineRule="auto"/>
        <w:ind w:left="284" w:hanging="284"/>
        <w:rPr>
          <w:sz w:val="18"/>
          <w:szCs w:val="18"/>
        </w:rPr>
      </w:pPr>
      <w:r w:rsidRPr="00AC34C4">
        <w:rPr>
          <w:rStyle w:val="DipnotBavurusu"/>
          <w:rFonts w:ascii="Times New Roman" w:hAnsi="Times New Roman"/>
          <w:sz w:val="18"/>
          <w:szCs w:val="18"/>
          <w:vertAlign w:val="baseline"/>
        </w:rPr>
        <w:footnoteRef/>
      </w:r>
      <w:r w:rsidRPr="00AC34C4">
        <w:rPr>
          <w:sz w:val="18"/>
          <w:szCs w:val="18"/>
        </w:rPr>
        <w:t xml:space="preserve"> Yargıtay Ceza Genel Kurulunun 11/02/2020 T., 2016/698 E., 2020/86 K.</w:t>
      </w:r>
    </w:p>
  </w:footnote>
  <w:footnote w:id="21">
    <w:p w14:paraId="4FB1F089" w14:textId="77777777" w:rsidR="00AC34C4" w:rsidRPr="00AC34C4" w:rsidRDefault="00AC34C4" w:rsidP="00B95C04">
      <w:pPr>
        <w:pStyle w:val="DipnotMetni"/>
        <w:spacing w:after="0" w:line="240" w:lineRule="auto"/>
        <w:ind w:left="284" w:hanging="284"/>
        <w:rPr>
          <w:sz w:val="18"/>
          <w:szCs w:val="18"/>
        </w:rPr>
      </w:pPr>
      <w:r w:rsidRPr="00AC34C4">
        <w:rPr>
          <w:rStyle w:val="DipnotBavurusu"/>
          <w:rFonts w:ascii="Times New Roman" w:hAnsi="Times New Roman"/>
          <w:sz w:val="18"/>
          <w:szCs w:val="18"/>
          <w:vertAlign w:val="baseline"/>
        </w:rPr>
        <w:footnoteRef/>
      </w:r>
      <w:r>
        <w:rPr>
          <w:sz w:val="18"/>
          <w:szCs w:val="18"/>
        </w:rPr>
        <w:t xml:space="preserve">  </w:t>
      </w:r>
      <w:r w:rsidRPr="00AC34C4">
        <w:rPr>
          <w:sz w:val="18"/>
          <w:szCs w:val="18"/>
        </w:rPr>
        <w:t xml:space="preserve"> </w:t>
      </w:r>
      <w:r w:rsidRPr="00AC34C4">
        <w:rPr>
          <w:i/>
          <w:sz w:val="18"/>
          <w:szCs w:val="18"/>
        </w:rPr>
        <w:t>Rotaru/Romanya</w:t>
      </w:r>
      <w:r w:rsidRPr="00AC34C4">
        <w:rPr>
          <w:sz w:val="18"/>
          <w:szCs w:val="18"/>
        </w:rPr>
        <w:t>, [BD], B.</w:t>
      </w:r>
      <w:r>
        <w:rPr>
          <w:sz w:val="18"/>
          <w:szCs w:val="18"/>
        </w:rPr>
        <w:t xml:space="preserve"> </w:t>
      </w:r>
      <w:r w:rsidRPr="00AC34C4">
        <w:rPr>
          <w:sz w:val="18"/>
          <w:szCs w:val="18"/>
        </w:rPr>
        <w:t>No: 23841/95, 04/5/2000, §</w:t>
      </w:r>
      <w:r>
        <w:rPr>
          <w:sz w:val="18"/>
          <w:szCs w:val="18"/>
        </w:rPr>
        <w:t xml:space="preserve"> </w:t>
      </w:r>
      <w:r w:rsidRPr="00AC34C4">
        <w:rPr>
          <w:sz w:val="18"/>
          <w:szCs w:val="18"/>
        </w:rPr>
        <w:t xml:space="preserve">43-44; </w:t>
      </w:r>
      <w:r w:rsidRPr="00AC34C4">
        <w:rPr>
          <w:i/>
          <w:sz w:val="18"/>
          <w:szCs w:val="18"/>
        </w:rPr>
        <w:t>Segerstedt-Wiberg ve Diğerleri/İsveç</w:t>
      </w:r>
      <w:r w:rsidRPr="00AC34C4">
        <w:rPr>
          <w:sz w:val="18"/>
          <w:szCs w:val="18"/>
        </w:rPr>
        <w:t>,</w:t>
      </w:r>
      <w:r>
        <w:rPr>
          <w:sz w:val="18"/>
          <w:szCs w:val="18"/>
        </w:rPr>
        <w:t xml:space="preserve"> B. No: 62332/00, 06/9/2006, </w:t>
      </w:r>
      <w:r w:rsidRPr="00AC34C4">
        <w:rPr>
          <w:sz w:val="18"/>
          <w:szCs w:val="18"/>
        </w:rPr>
        <w:t>§</w:t>
      </w:r>
      <w:r>
        <w:rPr>
          <w:sz w:val="18"/>
          <w:szCs w:val="18"/>
        </w:rPr>
        <w:t xml:space="preserve"> </w:t>
      </w:r>
      <w:r w:rsidRPr="00AC34C4">
        <w:rPr>
          <w:sz w:val="18"/>
          <w:szCs w:val="18"/>
        </w:rPr>
        <w:t xml:space="preserve">72; </w:t>
      </w:r>
      <w:r w:rsidRPr="00AC34C4">
        <w:rPr>
          <w:i/>
          <w:sz w:val="18"/>
          <w:szCs w:val="18"/>
        </w:rPr>
        <w:t>Cemalettin Canlı/Türkiye</w:t>
      </w:r>
      <w:r w:rsidRPr="00AC34C4">
        <w:rPr>
          <w:sz w:val="18"/>
          <w:szCs w:val="18"/>
        </w:rPr>
        <w:t>,</w:t>
      </w:r>
      <w:r>
        <w:rPr>
          <w:sz w:val="18"/>
          <w:szCs w:val="18"/>
        </w:rPr>
        <w:t xml:space="preserve"> B. No: 22427/04, 18/02/2009,</w:t>
      </w:r>
      <w:r w:rsidRPr="00AC34C4">
        <w:rPr>
          <w:sz w:val="18"/>
          <w:szCs w:val="18"/>
        </w:rPr>
        <w:t xml:space="preserve"> §</w:t>
      </w:r>
      <w:r>
        <w:rPr>
          <w:sz w:val="18"/>
          <w:szCs w:val="18"/>
        </w:rPr>
        <w:t xml:space="preserve"> </w:t>
      </w:r>
      <w:r w:rsidRPr="00AC34C4">
        <w:rPr>
          <w:sz w:val="18"/>
          <w:szCs w:val="18"/>
        </w:rPr>
        <w:t>43</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64A"/>
    <w:multiLevelType w:val="hybridMultilevel"/>
    <w:tmpl w:val="8F6C967E"/>
    <w:lvl w:ilvl="0" w:tplc="3D3C9460">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53316BB"/>
    <w:multiLevelType w:val="hybridMultilevel"/>
    <w:tmpl w:val="8D1A89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22A56"/>
    <w:multiLevelType w:val="hybridMultilevel"/>
    <w:tmpl w:val="016A7C42"/>
    <w:lvl w:ilvl="0" w:tplc="2676E1C6">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5B0D48"/>
    <w:multiLevelType w:val="hybridMultilevel"/>
    <w:tmpl w:val="C42ED220"/>
    <w:lvl w:ilvl="0" w:tplc="76E6DD7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1C14E7"/>
    <w:multiLevelType w:val="hybridMultilevel"/>
    <w:tmpl w:val="94DC4876"/>
    <w:lvl w:ilvl="0" w:tplc="198ED45E">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443F61"/>
    <w:multiLevelType w:val="hybridMultilevel"/>
    <w:tmpl w:val="54F0F760"/>
    <w:lvl w:ilvl="0" w:tplc="B69C1E56">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408C0A43"/>
    <w:multiLevelType w:val="hybridMultilevel"/>
    <w:tmpl w:val="3A0A2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1C70BE"/>
    <w:multiLevelType w:val="hybridMultilevel"/>
    <w:tmpl w:val="03D6A99E"/>
    <w:lvl w:ilvl="0" w:tplc="CBAAD222">
      <w:start w:val="1"/>
      <w:numFmt w:val="lowerRoman"/>
      <w:lvlText w:val="(%1)"/>
      <w:lvlJc w:val="left"/>
      <w:pPr>
        <w:ind w:left="1146" w:hanging="720"/>
      </w:pPr>
      <w:rPr>
        <w:rFonts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4D03330B"/>
    <w:multiLevelType w:val="hybridMultilevel"/>
    <w:tmpl w:val="19D42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446E38"/>
    <w:multiLevelType w:val="hybridMultilevel"/>
    <w:tmpl w:val="9360627A"/>
    <w:lvl w:ilvl="0" w:tplc="7908CE70">
      <w:start w:val="1"/>
      <w:numFmt w:val="decimal"/>
      <w:lvlText w:val="%1."/>
      <w:lvlJc w:val="left"/>
      <w:pPr>
        <w:ind w:left="360" w:hanging="360"/>
      </w:pPr>
      <w:rPr>
        <w:rFonts w:ascii="Arial" w:hAnsi="Arial" w:cs="Arial" w:hint="default"/>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5C2404E"/>
    <w:multiLevelType w:val="hybridMultilevel"/>
    <w:tmpl w:val="37067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BB5F97"/>
    <w:multiLevelType w:val="hybridMultilevel"/>
    <w:tmpl w:val="C904437E"/>
    <w:lvl w:ilvl="0" w:tplc="9EF2306A">
      <w:start w:val="1"/>
      <w:numFmt w:val="decimal"/>
      <w:lvlText w:val="%1."/>
      <w:lvlJc w:val="left"/>
      <w:pPr>
        <w:ind w:left="720" w:hanging="360"/>
      </w:pPr>
      <w:rPr>
        <w:rFonts w:eastAsiaTheme="minorHAns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9548637">
    <w:abstractNumId w:val="4"/>
  </w:num>
  <w:num w:numId="2" w16cid:durableId="589388390">
    <w:abstractNumId w:val="0"/>
  </w:num>
  <w:num w:numId="3" w16cid:durableId="1690060344">
    <w:abstractNumId w:val="7"/>
  </w:num>
  <w:num w:numId="4" w16cid:durableId="456603424">
    <w:abstractNumId w:val="5"/>
  </w:num>
  <w:num w:numId="5" w16cid:durableId="1197812249">
    <w:abstractNumId w:val="9"/>
  </w:num>
  <w:num w:numId="6" w16cid:durableId="397292765">
    <w:abstractNumId w:val="10"/>
  </w:num>
  <w:num w:numId="7" w16cid:durableId="1418021751">
    <w:abstractNumId w:val="6"/>
  </w:num>
  <w:num w:numId="8" w16cid:durableId="980812121">
    <w:abstractNumId w:val="11"/>
  </w:num>
  <w:num w:numId="9" w16cid:durableId="2028099267">
    <w:abstractNumId w:val="1"/>
  </w:num>
  <w:num w:numId="10" w16cid:durableId="1876120326">
    <w:abstractNumId w:val="8"/>
  </w:num>
  <w:num w:numId="11" w16cid:durableId="1308514019">
    <w:abstractNumId w:val="2"/>
  </w:num>
  <w:num w:numId="12" w16cid:durableId="170947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ExNjMzNzc3tTBW0lEKTi0uzszPAykwrAUAYGztyywAAAA="/>
  </w:docVars>
  <w:rsids>
    <w:rsidRoot w:val="00E10E90"/>
    <w:rsid w:val="00000597"/>
    <w:rsid w:val="00004B89"/>
    <w:rsid w:val="00005319"/>
    <w:rsid w:val="000055CF"/>
    <w:rsid w:val="000078B1"/>
    <w:rsid w:val="000145BC"/>
    <w:rsid w:val="000148A3"/>
    <w:rsid w:val="00020C5E"/>
    <w:rsid w:val="00021851"/>
    <w:rsid w:val="00022A97"/>
    <w:rsid w:val="00025600"/>
    <w:rsid w:val="00026715"/>
    <w:rsid w:val="00030525"/>
    <w:rsid w:val="00032BD6"/>
    <w:rsid w:val="00032EB1"/>
    <w:rsid w:val="00036A0E"/>
    <w:rsid w:val="00043E3C"/>
    <w:rsid w:val="00044762"/>
    <w:rsid w:val="0004508C"/>
    <w:rsid w:val="0005140D"/>
    <w:rsid w:val="00052037"/>
    <w:rsid w:val="0005398E"/>
    <w:rsid w:val="00054B7E"/>
    <w:rsid w:val="00055571"/>
    <w:rsid w:val="00061EAA"/>
    <w:rsid w:val="00070177"/>
    <w:rsid w:val="00070484"/>
    <w:rsid w:val="000707C0"/>
    <w:rsid w:val="00070A4D"/>
    <w:rsid w:val="00074D47"/>
    <w:rsid w:val="00074FC0"/>
    <w:rsid w:val="00081330"/>
    <w:rsid w:val="000819DB"/>
    <w:rsid w:val="00082FEB"/>
    <w:rsid w:val="00083A43"/>
    <w:rsid w:val="00083A54"/>
    <w:rsid w:val="000861AC"/>
    <w:rsid w:val="00086D26"/>
    <w:rsid w:val="00090EFC"/>
    <w:rsid w:val="000910AB"/>
    <w:rsid w:val="00093F93"/>
    <w:rsid w:val="00095D44"/>
    <w:rsid w:val="00095E04"/>
    <w:rsid w:val="000962FA"/>
    <w:rsid w:val="00096438"/>
    <w:rsid w:val="0009745D"/>
    <w:rsid w:val="000977A8"/>
    <w:rsid w:val="000A3D1B"/>
    <w:rsid w:val="000A7B71"/>
    <w:rsid w:val="000B12B5"/>
    <w:rsid w:val="000B1C7C"/>
    <w:rsid w:val="000B382A"/>
    <w:rsid w:val="000B5F08"/>
    <w:rsid w:val="000C0678"/>
    <w:rsid w:val="000C0F0E"/>
    <w:rsid w:val="000C2F3A"/>
    <w:rsid w:val="000C3B3F"/>
    <w:rsid w:val="000C5929"/>
    <w:rsid w:val="000C70E8"/>
    <w:rsid w:val="000C7D02"/>
    <w:rsid w:val="000D0443"/>
    <w:rsid w:val="000D2042"/>
    <w:rsid w:val="000D611B"/>
    <w:rsid w:val="000D6F10"/>
    <w:rsid w:val="000D7A7B"/>
    <w:rsid w:val="000D7F78"/>
    <w:rsid w:val="000E232F"/>
    <w:rsid w:val="000E27CC"/>
    <w:rsid w:val="000E5718"/>
    <w:rsid w:val="000E73E9"/>
    <w:rsid w:val="000F23D4"/>
    <w:rsid w:val="000F6463"/>
    <w:rsid w:val="00100254"/>
    <w:rsid w:val="001006DD"/>
    <w:rsid w:val="001006FF"/>
    <w:rsid w:val="00104831"/>
    <w:rsid w:val="00104DF3"/>
    <w:rsid w:val="00111DD6"/>
    <w:rsid w:val="00113F30"/>
    <w:rsid w:val="00115612"/>
    <w:rsid w:val="00116F1D"/>
    <w:rsid w:val="00120CE8"/>
    <w:rsid w:val="001219EB"/>
    <w:rsid w:val="00123AB3"/>
    <w:rsid w:val="001240A0"/>
    <w:rsid w:val="00124DAA"/>
    <w:rsid w:val="00126A15"/>
    <w:rsid w:val="00126E1E"/>
    <w:rsid w:val="001369CC"/>
    <w:rsid w:val="0014508A"/>
    <w:rsid w:val="00146082"/>
    <w:rsid w:val="00147B7C"/>
    <w:rsid w:val="00147C84"/>
    <w:rsid w:val="0015432D"/>
    <w:rsid w:val="00155E61"/>
    <w:rsid w:val="00161601"/>
    <w:rsid w:val="00163367"/>
    <w:rsid w:val="00170289"/>
    <w:rsid w:val="001754A0"/>
    <w:rsid w:val="00184816"/>
    <w:rsid w:val="001875E4"/>
    <w:rsid w:val="0019300D"/>
    <w:rsid w:val="00193A23"/>
    <w:rsid w:val="0019413B"/>
    <w:rsid w:val="00194E74"/>
    <w:rsid w:val="00195A13"/>
    <w:rsid w:val="00195F7D"/>
    <w:rsid w:val="001A0009"/>
    <w:rsid w:val="001A00EE"/>
    <w:rsid w:val="001A314E"/>
    <w:rsid w:val="001A3C10"/>
    <w:rsid w:val="001A40B7"/>
    <w:rsid w:val="001A6C79"/>
    <w:rsid w:val="001A7E79"/>
    <w:rsid w:val="001B0981"/>
    <w:rsid w:val="001B2E39"/>
    <w:rsid w:val="001B60E2"/>
    <w:rsid w:val="001C0719"/>
    <w:rsid w:val="001C73EA"/>
    <w:rsid w:val="001D0E0E"/>
    <w:rsid w:val="001D32CC"/>
    <w:rsid w:val="001D68AB"/>
    <w:rsid w:val="001E0830"/>
    <w:rsid w:val="001E0A0E"/>
    <w:rsid w:val="001E5C1B"/>
    <w:rsid w:val="001F0E2A"/>
    <w:rsid w:val="001F1A60"/>
    <w:rsid w:val="001F4AF6"/>
    <w:rsid w:val="001F6169"/>
    <w:rsid w:val="001F62FA"/>
    <w:rsid w:val="001F7827"/>
    <w:rsid w:val="002066B7"/>
    <w:rsid w:val="00210BD8"/>
    <w:rsid w:val="00212A32"/>
    <w:rsid w:val="002234B8"/>
    <w:rsid w:val="00225902"/>
    <w:rsid w:val="002269EE"/>
    <w:rsid w:val="00227C9F"/>
    <w:rsid w:val="00227FD3"/>
    <w:rsid w:val="00231398"/>
    <w:rsid w:val="00232D8B"/>
    <w:rsid w:val="00234E09"/>
    <w:rsid w:val="0023506F"/>
    <w:rsid w:val="002369C5"/>
    <w:rsid w:val="00241C52"/>
    <w:rsid w:val="002434F9"/>
    <w:rsid w:val="00243B59"/>
    <w:rsid w:val="0024517C"/>
    <w:rsid w:val="002468BE"/>
    <w:rsid w:val="00247875"/>
    <w:rsid w:val="00250CBE"/>
    <w:rsid w:val="002510CE"/>
    <w:rsid w:val="00253069"/>
    <w:rsid w:val="00261B89"/>
    <w:rsid w:val="00262B24"/>
    <w:rsid w:val="002675F6"/>
    <w:rsid w:val="00270501"/>
    <w:rsid w:val="00276FE4"/>
    <w:rsid w:val="0028340D"/>
    <w:rsid w:val="00283EB8"/>
    <w:rsid w:val="002913C5"/>
    <w:rsid w:val="002913D7"/>
    <w:rsid w:val="0029252F"/>
    <w:rsid w:val="00294241"/>
    <w:rsid w:val="002950DC"/>
    <w:rsid w:val="002A070D"/>
    <w:rsid w:val="002A1328"/>
    <w:rsid w:val="002A1D87"/>
    <w:rsid w:val="002A1F8B"/>
    <w:rsid w:val="002A5113"/>
    <w:rsid w:val="002A6692"/>
    <w:rsid w:val="002B40BD"/>
    <w:rsid w:val="002B4DB9"/>
    <w:rsid w:val="002C2149"/>
    <w:rsid w:val="002C6717"/>
    <w:rsid w:val="002D7DC8"/>
    <w:rsid w:val="002E14AC"/>
    <w:rsid w:val="002E2868"/>
    <w:rsid w:val="002E2CB3"/>
    <w:rsid w:val="002E3A67"/>
    <w:rsid w:val="002E4086"/>
    <w:rsid w:val="002E4095"/>
    <w:rsid w:val="002E5C0A"/>
    <w:rsid w:val="002E721D"/>
    <w:rsid w:val="002F0053"/>
    <w:rsid w:val="002F32A2"/>
    <w:rsid w:val="002F34A1"/>
    <w:rsid w:val="003032AC"/>
    <w:rsid w:val="003051A3"/>
    <w:rsid w:val="00311949"/>
    <w:rsid w:val="00311A4F"/>
    <w:rsid w:val="00311F9A"/>
    <w:rsid w:val="0031261C"/>
    <w:rsid w:val="0031502A"/>
    <w:rsid w:val="00315CA5"/>
    <w:rsid w:val="00326ABF"/>
    <w:rsid w:val="00326E29"/>
    <w:rsid w:val="003276BD"/>
    <w:rsid w:val="00331066"/>
    <w:rsid w:val="00331A89"/>
    <w:rsid w:val="00333DA6"/>
    <w:rsid w:val="003407CD"/>
    <w:rsid w:val="00343A3B"/>
    <w:rsid w:val="00344FC5"/>
    <w:rsid w:val="00346CA6"/>
    <w:rsid w:val="00350CFE"/>
    <w:rsid w:val="003521C6"/>
    <w:rsid w:val="00353A66"/>
    <w:rsid w:val="003557F3"/>
    <w:rsid w:val="0035713A"/>
    <w:rsid w:val="0036396A"/>
    <w:rsid w:val="003647CE"/>
    <w:rsid w:val="00364891"/>
    <w:rsid w:val="00365D30"/>
    <w:rsid w:val="0036685E"/>
    <w:rsid w:val="00366A7A"/>
    <w:rsid w:val="0037239A"/>
    <w:rsid w:val="003723E1"/>
    <w:rsid w:val="00372542"/>
    <w:rsid w:val="00374FF4"/>
    <w:rsid w:val="003757BD"/>
    <w:rsid w:val="0037775D"/>
    <w:rsid w:val="00377DEB"/>
    <w:rsid w:val="003811CD"/>
    <w:rsid w:val="00385661"/>
    <w:rsid w:val="003918D3"/>
    <w:rsid w:val="003955DF"/>
    <w:rsid w:val="003A4AD9"/>
    <w:rsid w:val="003B0BFE"/>
    <w:rsid w:val="003B18DD"/>
    <w:rsid w:val="003B2567"/>
    <w:rsid w:val="003B47E7"/>
    <w:rsid w:val="003B4A8B"/>
    <w:rsid w:val="003C02D9"/>
    <w:rsid w:val="003C2391"/>
    <w:rsid w:val="003C275B"/>
    <w:rsid w:val="003C37F2"/>
    <w:rsid w:val="003C6942"/>
    <w:rsid w:val="003E1AF2"/>
    <w:rsid w:val="003E3D36"/>
    <w:rsid w:val="003E7B55"/>
    <w:rsid w:val="003F162A"/>
    <w:rsid w:val="003F18CF"/>
    <w:rsid w:val="003F1FCE"/>
    <w:rsid w:val="00400037"/>
    <w:rsid w:val="00402D0D"/>
    <w:rsid w:val="00416B20"/>
    <w:rsid w:val="004201F4"/>
    <w:rsid w:val="00420979"/>
    <w:rsid w:val="0042227E"/>
    <w:rsid w:val="00422D8A"/>
    <w:rsid w:val="004258B1"/>
    <w:rsid w:val="00425D60"/>
    <w:rsid w:val="0042702B"/>
    <w:rsid w:val="004304B0"/>
    <w:rsid w:val="00432392"/>
    <w:rsid w:val="0043265F"/>
    <w:rsid w:val="00434581"/>
    <w:rsid w:val="00435C66"/>
    <w:rsid w:val="0044033C"/>
    <w:rsid w:val="00445A96"/>
    <w:rsid w:val="00446C15"/>
    <w:rsid w:val="00446D8C"/>
    <w:rsid w:val="00453312"/>
    <w:rsid w:val="00455935"/>
    <w:rsid w:val="004625DE"/>
    <w:rsid w:val="00462FD4"/>
    <w:rsid w:val="00463421"/>
    <w:rsid w:val="00464E67"/>
    <w:rsid w:val="004707A0"/>
    <w:rsid w:val="004728AF"/>
    <w:rsid w:val="00472BCA"/>
    <w:rsid w:val="00477AA5"/>
    <w:rsid w:val="00481E61"/>
    <w:rsid w:val="00482748"/>
    <w:rsid w:val="00487490"/>
    <w:rsid w:val="00492173"/>
    <w:rsid w:val="00494233"/>
    <w:rsid w:val="004A0B39"/>
    <w:rsid w:val="004A1071"/>
    <w:rsid w:val="004A2291"/>
    <w:rsid w:val="004A3F51"/>
    <w:rsid w:val="004A5715"/>
    <w:rsid w:val="004A7261"/>
    <w:rsid w:val="004B622A"/>
    <w:rsid w:val="004B7C60"/>
    <w:rsid w:val="004C02D3"/>
    <w:rsid w:val="004C1230"/>
    <w:rsid w:val="004C3C82"/>
    <w:rsid w:val="004C4070"/>
    <w:rsid w:val="004C59C8"/>
    <w:rsid w:val="004D133D"/>
    <w:rsid w:val="004D34F7"/>
    <w:rsid w:val="004D4491"/>
    <w:rsid w:val="004D51F7"/>
    <w:rsid w:val="004D5789"/>
    <w:rsid w:val="004D6370"/>
    <w:rsid w:val="004D6920"/>
    <w:rsid w:val="004D6C2E"/>
    <w:rsid w:val="004E10F4"/>
    <w:rsid w:val="004E3936"/>
    <w:rsid w:val="004E5AA8"/>
    <w:rsid w:val="004F46E2"/>
    <w:rsid w:val="004F495D"/>
    <w:rsid w:val="004F4B37"/>
    <w:rsid w:val="004F582D"/>
    <w:rsid w:val="004F6989"/>
    <w:rsid w:val="005010FE"/>
    <w:rsid w:val="00501B4D"/>
    <w:rsid w:val="005043D0"/>
    <w:rsid w:val="005065D7"/>
    <w:rsid w:val="005104C0"/>
    <w:rsid w:val="00516214"/>
    <w:rsid w:val="00516956"/>
    <w:rsid w:val="00516C0D"/>
    <w:rsid w:val="0052099D"/>
    <w:rsid w:val="00520EB1"/>
    <w:rsid w:val="00521037"/>
    <w:rsid w:val="00522228"/>
    <w:rsid w:val="00523F27"/>
    <w:rsid w:val="0052673D"/>
    <w:rsid w:val="005274E9"/>
    <w:rsid w:val="005323FE"/>
    <w:rsid w:val="00534067"/>
    <w:rsid w:val="005343CD"/>
    <w:rsid w:val="00536262"/>
    <w:rsid w:val="00540034"/>
    <w:rsid w:val="005409B3"/>
    <w:rsid w:val="0054483D"/>
    <w:rsid w:val="00546252"/>
    <w:rsid w:val="00546702"/>
    <w:rsid w:val="005473E1"/>
    <w:rsid w:val="00547CA7"/>
    <w:rsid w:val="00550CF1"/>
    <w:rsid w:val="00552B18"/>
    <w:rsid w:val="0055361D"/>
    <w:rsid w:val="0055452A"/>
    <w:rsid w:val="0055563E"/>
    <w:rsid w:val="00555DE2"/>
    <w:rsid w:val="00561CCC"/>
    <w:rsid w:val="005635B8"/>
    <w:rsid w:val="00565DF4"/>
    <w:rsid w:val="00567A00"/>
    <w:rsid w:val="00575EFC"/>
    <w:rsid w:val="00580354"/>
    <w:rsid w:val="00581313"/>
    <w:rsid w:val="0058208E"/>
    <w:rsid w:val="005830FE"/>
    <w:rsid w:val="00585C56"/>
    <w:rsid w:val="00586388"/>
    <w:rsid w:val="00591860"/>
    <w:rsid w:val="00596469"/>
    <w:rsid w:val="005A528D"/>
    <w:rsid w:val="005A576C"/>
    <w:rsid w:val="005B019B"/>
    <w:rsid w:val="005B3ABD"/>
    <w:rsid w:val="005C00BA"/>
    <w:rsid w:val="005C0121"/>
    <w:rsid w:val="005C38C7"/>
    <w:rsid w:val="005C487D"/>
    <w:rsid w:val="005D3485"/>
    <w:rsid w:val="005D3543"/>
    <w:rsid w:val="005D371C"/>
    <w:rsid w:val="005D381B"/>
    <w:rsid w:val="005D4675"/>
    <w:rsid w:val="005D59BD"/>
    <w:rsid w:val="005E3EFE"/>
    <w:rsid w:val="005E610F"/>
    <w:rsid w:val="005E6FA1"/>
    <w:rsid w:val="005F14E4"/>
    <w:rsid w:val="005F1F6D"/>
    <w:rsid w:val="00605C7D"/>
    <w:rsid w:val="00607D03"/>
    <w:rsid w:val="00610693"/>
    <w:rsid w:val="006162F7"/>
    <w:rsid w:val="00620C7F"/>
    <w:rsid w:val="00634B3F"/>
    <w:rsid w:val="0063567E"/>
    <w:rsid w:val="00637C58"/>
    <w:rsid w:val="006443DD"/>
    <w:rsid w:val="00644A7C"/>
    <w:rsid w:val="006473D7"/>
    <w:rsid w:val="00652D89"/>
    <w:rsid w:val="006578C1"/>
    <w:rsid w:val="006605A7"/>
    <w:rsid w:val="006630C6"/>
    <w:rsid w:val="00663DD5"/>
    <w:rsid w:val="006657A4"/>
    <w:rsid w:val="0067087B"/>
    <w:rsid w:val="00671037"/>
    <w:rsid w:val="00672F42"/>
    <w:rsid w:val="00674A9C"/>
    <w:rsid w:val="00675B59"/>
    <w:rsid w:val="006772B2"/>
    <w:rsid w:val="006779FF"/>
    <w:rsid w:val="00681A1C"/>
    <w:rsid w:val="00681B05"/>
    <w:rsid w:val="006846CA"/>
    <w:rsid w:val="00690986"/>
    <w:rsid w:val="00695ADD"/>
    <w:rsid w:val="006A708B"/>
    <w:rsid w:val="006B0072"/>
    <w:rsid w:val="006B1958"/>
    <w:rsid w:val="006B305F"/>
    <w:rsid w:val="006B362F"/>
    <w:rsid w:val="006B4021"/>
    <w:rsid w:val="006B420F"/>
    <w:rsid w:val="006C3A50"/>
    <w:rsid w:val="006C3F2E"/>
    <w:rsid w:val="006D093A"/>
    <w:rsid w:val="006D280F"/>
    <w:rsid w:val="006D308A"/>
    <w:rsid w:val="006D5775"/>
    <w:rsid w:val="006E4997"/>
    <w:rsid w:val="006E73A2"/>
    <w:rsid w:val="006F1410"/>
    <w:rsid w:val="006F1E5F"/>
    <w:rsid w:val="006F2769"/>
    <w:rsid w:val="006F43B7"/>
    <w:rsid w:val="006F50E2"/>
    <w:rsid w:val="006F6771"/>
    <w:rsid w:val="00703515"/>
    <w:rsid w:val="007049EE"/>
    <w:rsid w:val="007060E1"/>
    <w:rsid w:val="00707EA8"/>
    <w:rsid w:val="00710B3C"/>
    <w:rsid w:val="00715A07"/>
    <w:rsid w:val="0071687D"/>
    <w:rsid w:val="00721461"/>
    <w:rsid w:val="007230E5"/>
    <w:rsid w:val="00724009"/>
    <w:rsid w:val="00724657"/>
    <w:rsid w:val="0072497F"/>
    <w:rsid w:val="00724A90"/>
    <w:rsid w:val="0072676A"/>
    <w:rsid w:val="007346A2"/>
    <w:rsid w:val="0074335D"/>
    <w:rsid w:val="00743BC9"/>
    <w:rsid w:val="00746AC2"/>
    <w:rsid w:val="00746C6A"/>
    <w:rsid w:val="00752808"/>
    <w:rsid w:val="00754B3F"/>
    <w:rsid w:val="0075567B"/>
    <w:rsid w:val="00760D74"/>
    <w:rsid w:val="0076494C"/>
    <w:rsid w:val="00765103"/>
    <w:rsid w:val="0076685A"/>
    <w:rsid w:val="00771274"/>
    <w:rsid w:val="00772D5B"/>
    <w:rsid w:val="007743CE"/>
    <w:rsid w:val="00774EF7"/>
    <w:rsid w:val="007753AC"/>
    <w:rsid w:val="00780850"/>
    <w:rsid w:val="0078105E"/>
    <w:rsid w:val="00782EE5"/>
    <w:rsid w:val="007832F0"/>
    <w:rsid w:val="007846AB"/>
    <w:rsid w:val="00790E29"/>
    <w:rsid w:val="00792F42"/>
    <w:rsid w:val="00795B60"/>
    <w:rsid w:val="007964BD"/>
    <w:rsid w:val="0079651F"/>
    <w:rsid w:val="00797FB2"/>
    <w:rsid w:val="007A0F5D"/>
    <w:rsid w:val="007A278B"/>
    <w:rsid w:val="007A31B4"/>
    <w:rsid w:val="007A3E0D"/>
    <w:rsid w:val="007A4066"/>
    <w:rsid w:val="007A4BA7"/>
    <w:rsid w:val="007A7363"/>
    <w:rsid w:val="007A7B98"/>
    <w:rsid w:val="007B0C1D"/>
    <w:rsid w:val="007B13DB"/>
    <w:rsid w:val="007B2E78"/>
    <w:rsid w:val="007B3C14"/>
    <w:rsid w:val="007B44CF"/>
    <w:rsid w:val="007B4BAA"/>
    <w:rsid w:val="007B4D2B"/>
    <w:rsid w:val="007C0354"/>
    <w:rsid w:val="007C155F"/>
    <w:rsid w:val="007C16A8"/>
    <w:rsid w:val="007C2FE3"/>
    <w:rsid w:val="007C45F8"/>
    <w:rsid w:val="007C4BFD"/>
    <w:rsid w:val="007C5068"/>
    <w:rsid w:val="007C68EF"/>
    <w:rsid w:val="007C7B57"/>
    <w:rsid w:val="007D04E3"/>
    <w:rsid w:val="007D32D1"/>
    <w:rsid w:val="007D3800"/>
    <w:rsid w:val="007D3DE9"/>
    <w:rsid w:val="007D459E"/>
    <w:rsid w:val="007D4BB0"/>
    <w:rsid w:val="007D756B"/>
    <w:rsid w:val="007E18E4"/>
    <w:rsid w:val="007E2034"/>
    <w:rsid w:val="007E550D"/>
    <w:rsid w:val="007E65EB"/>
    <w:rsid w:val="007E6792"/>
    <w:rsid w:val="007F0337"/>
    <w:rsid w:val="007F0585"/>
    <w:rsid w:val="00804C1A"/>
    <w:rsid w:val="00804E23"/>
    <w:rsid w:val="00805D24"/>
    <w:rsid w:val="00806438"/>
    <w:rsid w:val="008126F2"/>
    <w:rsid w:val="008159AB"/>
    <w:rsid w:val="008224CA"/>
    <w:rsid w:val="00822502"/>
    <w:rsid w:val="00822C4D"/>
    <w:rsid w:val="00826880"/>
    <w:rsid w:val="00827512"/>
    <w:rsid w:val="00827E6C"/>
    <w:rsid w:val="008313C3"/>
    <w:rsid w:val="00831BE5"/>
    <w:rsid w:val="00833B7A"/>
    <w:rsid w:val="00833D66"/>
    <w:rsid w:val="0083580A"/>
    <w:rsid w:val="00835BFD"/>
    <w:rsid w:val="0084170D"/>
    <w:rsid w:val="00842225"/>
    <w:rsid w:val="0084645C"/>
    <w:rsid w:val="00847052"/>
    <w:rsid w:val="00850A01"/>
    <w:rsid w:val="00851223"/>
    <w:rsid w:val="008542C5"/>
    <w:rsid w:val="00856089"/>
    <w:rsid w:val="008579E9"/>
    <w:rsid w:val="00857C88"/>
    <w:rsid w:val="0087501B"/>
    <w:rsid w:val="008760BB"/>
    <w:rsid w:val="00884C05"/>
    <w:rsid w:val="0088605E"/>
    <w:rsid w:val="00887EC7"/>
    <w:rsid w:val="00890ED1"/>
    <w:rsid w:val="00891C6C"/>
    <w:rsid w:val="00895AE1"/>
    <w:rsid w:val="008A091F"/>
    <w:rsid w:val="008A169B"/>
    <w:rsid w:val="008A2D47"/>
    <w:rsid w:val="008A2E9B"/>
    <w:rsid w:val="008A5395"/>
    <w:rsid w:val="008A5575"/>
    <w:rsid w:val="008A7171"/>
    <w:rsid w:val="008A71F0"/>
    <w:rsid w:val="008B289F"/>
    <w:rsid w:val="008B7E1C"/>
    <w:rsid w:val="008B7F8F"/>
    <w:rsid w:val="008C27B4"/>
    <w:rsid w:val="008C3219"/>
    <w:rsid w:val="008C47D8"/>
    <w:rsid w:val="008C4F7A"/>
    <w:rsid w:val="008C545A"/>
    <w:rsid w:val="008D1C4A"/>
    <w:rsid w:val="008D46E5"/>
    <w:rsid w:val="008D4ED8"/>
    <w:rsid w:val="008E083B"/>
    <w:rsid w:val="008E237B"/>
    <w:rsid w:val="008E5318"/>
    <w:rsid w:val="008E6E91"/>
    <w:rsid w:val="008F2C2B"/>
    <w:rsid w:val="008F3C62"/>
    <w:rsid w:val="008F6F85"/>
    <w:rsid w:val="00901717"/>
    <w:rsid w:val="00902A27"/>
    <w:rsid w:val="00906342"/>
    <w:rsid w:val="009119D7"/>
    <w:rsid w:val="00911F6C"/>
    <w:rsid w:val="009136EA"/>
    <w:rsid w:val="00913CE4"/>
    <w:rsid w:val="0091448D"/>
    <w:rsid w:val="00914ED5"/>
    <w:rsid w:val="0091764C"/>
    <w:rsid w:val="00921A75"/>
    <w:rsid w:val="00922CFE"/>
    <w:rsid w:val="0092442A"/>
    <w:rsid w:val="0092704F"/>
    <w:rsid w:val="00941B4D"/>
    <w:rsid w:val="00942761"/>
    <w:rsid w:val="0094321D"/>
    <w:rsid w:val="0094493B"/>
    <w:rsid w:val="00944FA5"/>
    <w:rsid w:val="009507C8"/>
    <w:rsid w:val="00950A4C"/>
    <w:rsid w:val="00952054"/>
    <w:rsid w:val="009521D7"/>
    <w:rsid w:val="00956608"/>
    <w:rsid w:val="009601F7"/>
    <w:rsid w:val="0096185D"/>
    <w:rsid w:val="00963988"/>
    <w:rsid w:val="00964E32"/>
    <w:rsid w:val="0097220C"/>
    <w:rsid w:val="009729A1"/>
    <w:rsid w:val="00973E90"/>
    <w:rsid w:val="00977DA6"/>
    <w:rsid w:val="009806BA"/>
    <w:rsid w:val="009821F3"/>
    <w:rsid w:val="00983BB3"/>
    <w:rsid w:val="00984391"/>
    <w:rsid w:val="00992F68"/>
    <w:rsid w:val="00993F5D"/>
    <w:rsid w:val="009A0CB7"/>
    <w:rsid w:val="009A2914"/>
    <w:rsid w:val="009A38B1"/>
    <w:rsid w:val="009A46EF"/>
    <w:rsid w:val="009A4B94"/>
    <w:rsid w:val="009A5F7F"/>
    <w:rsid w:val="009B0C92"/>
    <w:rsid w:val="009B123C"/>
    <w:rsid w:val="009B33E2"/>
    <w:rsid w:val="009B608D"/>
    <w:rsid w:val="009C0561"/>
    <w:rsid w:val="009C0F26"/>
    <w:rsid w:val="009C183C"/>
    <w:rsid w:val="009C2A8F"/>
    <w:rsid w:val="009C5C13"/>
    <w:rsid w:val="009C7699"/>
    <w:rsid w:val="009D0A87"/>
    <w:rsid w:val="009D3976"/>
    <w:rsid w:val="009D3CB7"/>
    <w:rsid w:val="009D3FF5"/>
    <w:rsid w:val="009E2E3B"/>
    <w:rsid w:val="009E5593"/>
    <w:rsid w:val="009E6429"/>
    <w:rsid w:val="009E68DC"/>
    <w:rsid w:val="009F05FB"/>
    <w:rsid w:val="009F269D"/>
    <w:rsid w:val="009F6A2F"/>
    <w:rsid w:val="00A01A46"/>
    <w:rsid w:val="00A0307E"/>
    <w:rsid w:val="00A05C32"/>
    <w:rsid w:val="00A063D1"/>
    <w:rsid w:val="00A07F6E"/>
    <w:rsid w:val="00A1065F"/>
    <w:rsid w:val="00A10E04"/>
    <w:rsid w:val="00A13CC6"/>
    <w:rsid w:val="00A171C5"/>
    <w:rsid w:val="00A21092"/>
    <w:rsid w:val="00A22321"/>
    <w:rsid w:val="00A22362"/>
    <w:rsid w:val="00A22C0F"/>
    <w:rsid w:val="00A22E61"/>
    <w:rsid w:val="00A22EF5"/>
    <w:rsid w:val="00A3030C"/>
    <w:rsid w:val="00A32212"/>
    <w:rsid w:val="00A32221"/>
    <w:rsid w:val="00A32E8A"/>
    <w:rsid w:val="00A33E25"/>
    <w:rsid w:val="00A400A7"/>
    <w:rsid w:val="00A409EE"/>
    <w:rsid w:val="00A41D5F"/>
    <w:rsid w:val="00A435C2"/>
    <w:rsid w:val="00A474F7"/>
    <w:rsid w:val="00A51E24"/>
    <w:rsid w:val="00A53E81"/>
    <w:rsid w:val="00A555B6"/>
    <w:rsid w:val="00A55EC4"/>
    <w:rsid w:val="00A572F0"/>
    <w:rsid w:val="00A576E9"/>
    <w:rsid w:val="00A61402"/>
    <w:rsid w:val="00A62BE4"/>
    <w:rsid w:val="00A64182"/>
    <w:rsid w:val="00A64228"/>
    <w:rsid w:val="00A65974"/>
    <w:rsid w:val="00A673D8"/>
    <w:rsid w:val="00A70D99"/>
    <w:rsid w:val="00A70F3F"/>
    <w:rsid w:val="00A76B15"/>
    <w:rsid w:val="00A76CFB"/>
    <w:rsid w:val="00A76D7D"/>
    <w:rsid w:val="00A77325"/>
    <w:rsid w:val="00A80957"/>
    <w:rsid w:val="00A80D6A"/>
    <w:rsid w:val="00A8410A"/>
    <w:rsid w:val="00A84601"/>
    <w:rsid w:val="00A857E6"/>
    <w:rsid w:val="00A86B2B"/>
    <w:rsid w:val="00A92DF1"/>
    <w:rsid w:val="00A95525"/>
    <w:rsid w:val="00A9566D"/>
    <w:rsid w:val="00A9580D"/>
    <w:rsid w:val="00AA04B9"/>
    <w:rsid w:val="00AA2885"/>
    <w:rsid w:val="00AA2FD5"/>
    <w:rsid w:val="00AA4ABA"/>
    <w:rsid w:val="00AB407B"/>
    <w:rsid w:val="00AB57C5"/>
    <w:rsid w:val="00AC1C76"/>
    <w:rsid w:val="00AC34C4"/>
    <w:rsid w:val="00AC5D30"/>
    <w:rsid w:val="00AC60A5"/>
    <w:rsid w:val="00AC669A"/>
    <w:rsid w:val="00AD0550"/>
    <w:rsid w:val="00AD23C0"/>
    <w:rsid w:val="00AD279C"/>
    <w:rsid w:val="00AD2B51"/>
    <w:rsid w:val="00AE013E"/>
    <w:rsid w:val="00AE1350"/>
    <w:rsid w:val="00AE256F"/>
    <w:rsid w:val="00AF25E9"/>
    <w:rsid w:val="00AF7143"/>
    <w:rsid w:val="00B015DB"/>
    <w:rsid w:val="00B01F65"/>
    <w:rsid w:val="00B026A1"/>
    <w:rsid w:val="00B041B3"/>
    <w:rsid w:val="00B06848"/>
    <w:rsid w:val="00B06F06"/>
    <w:rsid w:val="00B07C3E"/>
    <w:rsid w:val="00B104E7"/>
    <w:rsid w:val="00B143F0"/>
    <w:rsid w:val="00B152DA"/>
    <w:rsid w:val="00B15941"/>
    <w:rsid w:val="00B159B9"/>
    <w:rsid w:val="00B21989"/>
    <w:rsid w:val="00B22CF7"/>
    <w:rsid w:val="00B23DA3"/>
    <w:rsid w:val="00B26E52"/>
    <w:rsid w:val="00B303CB"/>
    <w:rsid w:val="00B31581"/>
    <w:rsid w:val="00B328ED"/>
    <w:rsid w:val="00B33618"/>
    <w:rsid w:val="00B3707D"/>
    <w:rsid w:val="00B4036C"/>
    <w:rsid w:val="00B42CA4"/>
    <w:rsid w:val="00B42CF8"/>
    <w:rsid w:val="00B42D52"/>
    <w:rsid w:val="00B44508"/>
    <w:rsid w:val="00B446CF"/>
    <w:rsid w:val="00B46DB1"/>
    <w:rsid w:val="00B47331"/>
    <w:rsid w:val="00B4748D"/>
    <w:rsid w:val="00B5017D"/>
    <w:rsid w:val="00B521CF"/>
    <w:rsid w:val="00B5315F"/>
    <w:rsid w:val="00B54AD1"/>
    <w:rsid w:val="00B54EA2"/>
    <w:rsid w:val="00B55400"/>
    <w:rsid w:val="00B55869"/>
    <w:rsid w:val="00B56BCC"/>
    <w:rsid w:val="00B60AE6"/>
    <w:rsid w:val="00B6248B"/>
    <w:rsid w:val="00B66B76"/>
    <w:rsid w:val="00B67686"/>
    <w:rsid w:val="00B7353B"/>
    <w:rsid w:val="00B7506D"/>
    <w:rsid w:val="00B82C26"/>
    <w:rsid w:val="00B832AF"/>
    <w:rsid w:val="00B845A1"/>
    <w:rsid w:val="00B95182"/>
    <w:rsid w:val="00B95B9B"/>
    <w:rsid w:val="00B95C04"/>
    <w:rsid w:val="00B97228"/>
    <w:rsid w:val="00B978EF"/>
    <w:rsid w:val="00BA5A58"/>
    <w:rsid w:val="00BB0613"/>
    <w:rsid w:val="00BB336D"/>
    <w:rsid w:val="00BB692E"/>
    <w:rsid w:val="00BB749A"/>
    <w:rsid w:val="00BC0FA2"/>
    <w:rsid w:val="00BD1F1F"/>
    <w:rsid w:val="00BD25F2"/>
    <w:rsid w:val="00BD3D5D"/>
    <w:rsid w:val="00BD5202"/>
    <w:rsid w:val="00BD52EC"/>
    <w:rsid w:val="00BD65F1"/>
    <w:rsid w:val="00BD7CDA"/>
    <w:rsid w:val="00BE0D6F"/>
    <w:rsid w:val="00BE1944"/>
    <w:rsid w:val="00BE2EB2"/>
    <w:rsid w:val="00BE34DC"/>
    <w:rsid w:val="00BE38DA"/>
    <w:rsid w:val="00BE51B4"/>
    <w:rsid w:val="00BF4725"/>
    <w:rsid w:val="00BF676D"/>
    <w:rsid w:val="00C0094C"/>
    <w:rsid w:val="00C01761"/>
    <w:rsid w:val="00C0327D"/>
    <w:rsid w:val="00C03738"/>
    <w:rsid w:val="00C041C9"/>
    <w:rsid w:val="00C05F4E"/>
    <w:rsid w:val="00C1008D"/>
    <w:rsid w:val="00C14B8F"/>
    <w:rsid w:val="00C16801"/>
    <w:rsid w:val="00C16C72"/>
    <w:rsid w:val="00C17692"/>
    <w:rsid w:val="00C222E8"/>
    <w:rsid w:val="00C24421"/>
    <w:rsid w:val="00C26876"/>
    <w:rsid w:val="00C27768"/>
    <w:rsid w:val="00C37BB1"/>
    <w:rsid w:val="00C421DB"/>
    <w:rsid w:val="00C423F6"/>
    <w:rsid w:val="00C46232"/>
    <w:rsid w:val="00C56C49"/>
    <w:rsid w:val="00C6511F"/>
    <w:rsid w:val="00C65205"/>
    <w:rsid w:val="00C65DA1"/>
    <w:rsid w:val="00C66E72"/>
    <w:rsid w:val="00C67C28"/>
    <w:rsid w:val="00C72D98"/>
    <w:rsid w:val="00C742D5"/>
    <w:rsid w:val="00C75058"/>
    <w:rsid w:val="00C762E5"/>
    <w:rsid w:val="00C801C2"/>
    <w:rsid w:val="00C82B2F"/>
    <w:rsid w:val="00C83036"/>
    <w:rsid w:val="00C86BD9"/>
    <w:rsid w:val="00C9135C"/>
    <w:rsid w:val="00C92427"/>
    <w:rsid w:val="00C94CA6"/>
    <w:rsid w:val="00C94F92"/>
    <w:rsid w:val="00C96555"/>
    <w:rsid w:val="00CA0A6B"/>
    <w:rsid w:val="00CA2DA3"/>
    <w:rsid w:val="00CA2E58"/>
    <w:rsid w:val="00CA3507"/>
    <w:rsid w:val="00CA3A50"/>
    <w:rsid w:val="00CA5793"/>
    <w:rsid w:val="00CA5A0A"/>
    <w:rsid w:val="00CA675B"/>
    <w:rsid w:val="00CB081F"/>
    <w:rsid w:val="00CB0D85"/>
    <w:rsid w:val="00CB0FD1"/>
    <w:rsid w:val="00CB1A9B"/>
    <w:rsid w:val="00CB1D6C"/>
    <w:rsid w:val="00CB282C"/>
    <w:rsid w:val="00CB3D45"/>
    <w:rsid w:val="00CB6FDE"/>
    <w:rsid w:val="00CC3F36"/>
    <w:rsid w:val="00CC4745"/>
    <w:rsid w:val="00CC49E5"/>
    <w:rsid w:val="00CC70DE"/>
    <w:rsid w:val="00CD0054"/>
    <w:rsid w:val="00CD0223"/>
    <w:rsid w:val="00CD43E4"/>
    <w:rsid w:val="00CE18AB"/>
    <w:rsid w:val="00CE3514"/>
    <w:rsid w:val="00CE3CCF"/>
    <w:rsid w:val="00CE5A5F"/>
    <w:rsid w:val="00CF0D78"/>
    <w:rsid w:val="00CF24C2"/>
    <w:rsid w:val="00D03955"/>
    <w:rsid w:val="00D1046C"/>
    <w:rsid w:val="00D14D55"/>
    <w:rsid w:val="00D17C39"/>
    <w:rsid w:val="00D20816"/>
    <w:rsid w:val="00D2107A"/>
    <w:rsid w:val="00D21665"/>
    <w:rsid w:val="00D22E3F"/>
    <w:rsid w:val="00D23425"/>
    <w:rsid w:val="00D23B7C"/>
    <w:rsid w:val="00D331D6"/>
    <w:rsid w:val="00D355DC"/>
    <w:rsid w:val="00D3619D"/>
    <w:rsid w:val="00D374CD"/>
    <w:rsid w:val="00D43D36"/>
    <w:rsid w:val="00D504E5"/>
    <w:rsid w:val="00D55BEC"/>
    <w:rsid w:val="00D60CFB"/>
    <w:rsid w:val="00D621C5"/>
    <w:rsid w:val="00D67D40"/>
    <w:rsid w:val="00D71562"/>
    <w:rsid w:val="00D73FBC"/>
    <w:rsid w:val="00D756BC"/>
    <w:rsid w:val="00D779D6"/>
    <w:rsid w:val="00D80550"/>
    <w:rsid w:val="00D80AFC"/>
    <w:rsid w:val="00D81AD4"/>
    <w:rsid w:val="00D81B0C"/>
    <w:rsid w:val="00D82273"/>
    <w:rsid w:val="00D85F07"/>
    <w:rsid w:val="00D8699E"/>
    <w:rsid w:val="00D919D7"/>
    <w:rsid w:val="00D91EA0"/>
    <w:rsid w:val="00D97431"/>
    <w:rsid w:val="00DA2164"/>
    <w:rsid w:val="00DA27DE"/>
    <w:rsid w:val="00DA4313"/>
    <w:rsid w:val="00DA630E"/>
    <w:rsid w:val="00DA6393"/>
    <w:rsid w:val="00DA6666"/>
    <w:rsid w:val="00DA7E48"/>
    <w:rsid w:val="00DB2757"/>
    <w:rsid w:val="00DB2BC1"/>
    <w:rsid w:val="00DB3760"/>
    <w:rsid w:val="00DB38FD"/>
    <w:rsid w:val="00DB7D93"/>
    <w:rsid w:val="00DC2249"/>
    <w:rsid w:val="00DC3E3C"/>
    <w:rsid w:val="00DC4D6E"/>
    <w:rsid w:val="00DC597F"/>
    <w:rsid w:val="00DC741E"/>
    <w:rsid w:val="00DC778A"/>
    <w:rsid w:val="00DD20AD"/>
    <w:rsid w:val="00DD2617"/>
    <w:rsid w:val="00DD6819"/>
    <w:rsid w:val="00DD693E"/>
    <w:rsid w:val="00DD6FBA"/>
    <w:rsid w:val="00DE32F2"/>
    <w:rsid w:val="00DE6364"/>
    <w:rsid w:val="00DE6534"/>
    <w:rsid w:val="00DE675E"/>
    <w:rsid w:val="00DF26F9"/>
    <w:rsid w:val="00DF5CDF"/>
    <w:rsid w:val="00DF632B"/>
    <w:rsid w:val="00DF7EB5"/>
    <w:rsid w:val="00E00C67"/>
    <w:rsid w:val="00E02179"/>
    <w:rsid w:val="00E03451"/>
    <w:rsid w:val="00E039F9"/>
    <w:rsid w:val="00E05684"/>
    <w:rsid w:val="00E07781"/>
    <w:rsid w:val="00E10E90"/>
    <w:rsid w:val="00E14D5C"/>
    <w:rsid w:val="00E167C6"/>
    <w:rsid w:val="00E25D03"/>
    <w:rsid w:val="00E260E0"/>
    <w:rsid w:val="00E30759"/>
    <w:rsid w:val="00E347B5"/>
    <w:rsid w:val="00E42229"/>
    <w:rsid w:val="00E42D25"/>
    <w:rsid w:val="00E43C9F"/>
    <w:rsid w:val="00E457D2"/>
    <w:rsid w:val="00E52EFD"/>
    <w:rsid w:val="00E5579D"/>
    <w:rsid w:val="00E63EAC"/>
    <w:rsid w:val="00E70583"/>
    <w:rsid w:val="00E71AC6"/>
    <w:rsid w:val="00E75207"/>
    <w:rsid w:val="00E82091"/>
    <w:rsid w:val="00E82B2D"/>
    <w:rsid w:val="00E830B3"/>
    <w:rsid w:val="00E87AE3"/>
    <w:rsid w:val="00E9053D"/>
    <w:rsid w:val="00E92BC4"/>
    <w:rsid w:val="00E97746"/>
    <w:rsid w:val="00EA1CC1"/>
    <w:rsid w:val="00EA23CA"/>
    <w:rsid w:val="00EA23F3"/>
    <w:rsid w:val="00EA2414"/>
    <w:rsid w:val="00EA2D63"/>
    <w:rsid w:val="00EB268B"/>
    <w:rsid w:val="00EB39B3"/>
    <w:rsid w:val="00EB4858"/>
    <w:rsid w:val="00EB54F7"/>
    <w:rsid w:val="00EC02E7"/>
    <w:rsid w:val="00EC177D"/>
    <w:rsid w:val="00EC43DA"/>
    <w:rsid w:val="00EC6CD0"/>
    <w:rsid w:val="00EC765F"/>
    <w:rsid w:val="00EC77CD"/>
    <w:rsid w:val="00ED0BA4"/>
    <w:rsid w:val="00ED281E"/>
    <w:rsid w:val="00ED5BFA"/>
    <w:rsid w:val="00EE46A4"/>
    <w:rsid w:val="00EE5D4F"/>
    <w:rsid w:val="00EE656F"/>
    <w:rsid w:val="00EE7042"/>
    <w:rsid w:val="00EF5A12"/>
    <w:rsid w:val="00EF6D5C"/>
    <w:rsid w:val="00EF78C7"/>
    <w:rsid w:val="00F002C1"/>
    <w:rsid w:val="00F01D66"/>
    <w:rsid w:val="00F01EED"/>
    <w:rsid w:val="00F02DC2"/>
    <w:rsid w:val="00F12447"/>
    <w:rsid w:val="00F13357"/>
    <w:rsid w:val="00F157A8"/>
    <w:rsid w:val="00F165BF"/>
    <w:rsid w:val="00F20ED0"/>
    <w:rsid w:val="00F21607"/>
    <w:rsid w:val="00F25455"/>
    <w:rsid w:val="00F27442"/>
    <w:rsid w:val="00F35F39"/>
    <w:rsid w:val="00F36D12"/>
    <w:rsid w:val="00F4067D"/>
    <w:rsid w:val="00F4137F"/>
    <w:rsid w:val="00F458F8"/>
    <w:rsid w:val="00F53EAF"/>
    <w:rsid w:val="00F54433"/>
    <w:rsid w:val="00F544DE"/>
    <w:rsid w:val="00F551D2"/>
    <w:rsid w:val="00F57147"/>
    <w:rsid w:val="00F60980"/>
    <w:rsid w:val="00F616A0"/>
    <w:rsid w:val="00F620A5"/>
    <w:rsid w:val="00F63570"/>
    <w:rsid w:val="00F64819"/>
    <w:rsid w:val="00F64A31"/>
    <w:rsid w:val="00F6732E"/>
    <w:rsid w:val="00F74431"/>
    <w:rsid w:val="00F75110"/>
    <w:rsid w:val="00F81A98"/>
    <w:rsid w:val="00F83D68"/>
    <w:rsid w:val="00F86BDC"/>
    <w:rsid w:val="00F87426"/>
    <w:rsid w:val="00F900E1"/>
    <w:rsid w:val="00F90957"/>
    <w:rsid w:val="00F91B79"/>
    <w:rsid w:val="00FA0753"/>
    <w:rsid w:val="00FA52DF"/>
    <w:rsid w:val="00FA6E07"/>
    <w:rsid w:val="00FB1CAB"/>
    <w:rsid w:val="00FB24C4"/>
    <w:rsid w:val="00FB40C3"/>
    <w:rsid w:val="00FB4B3F"/>
    <w:rsid w:val="00FB638E"/>
    <w:rsid w:val="00FC343A"/>
    <w:rsid w:val="00FC6B7B"/>
    <w:rsid w:val="00FD4306"/>
    <w:rsid w:val="00FD45A9"/>
    <w:rsid w:val="00FD6391"/>
    <w:rsid w:val="00FE03E7"/>
    <w:rsid w:val="00FE203B"/>
    <w:rsid w:val="00FE4659"/>
    <w:rsid w:val="00FE6802"/>
    <w:rsid w:val="00FE7590"/>
    <w:rsid w:val="00FF0CB7"/>
    <w:rsid w:val="00FF5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F0D2"/>
  <w15:docId w15:val="{535E9411-CE40-4BAE-8A1A-4C9B5177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A6"/>
  </w:style>
  <w:style w:type="paragraph" w:styleId="Balk7">
    <w:name w:val="heading 7"/>
    <w:basedOn w:val="Normal"/>
    <w:next w:val="Normal"/>
    <w:link w:val="Balk7Char"/>
    <w:uiPriority w:val="9"/>
    <w:unhideWhenUsed/>
    <w:qFormat/>
    <w:rsid w:val="0067087B"/>
    <w:pPr>
      <w:spacing w:before="240" w:after="60"/>
      <w:jc w:val="both"/>
      <w:outlineLvl w:val="6"/>
    </w:pPr>
    <w:rPr>
      <w:rFonts w:ascii="Palatino Linotype" w:eastAsia="Times New Roman" w:hAnsi="Palatino Linotype" w:cs="Times New Roman"/>
      <w:b/>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C16801"/>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16801"/>
    <w:rPr>
      <w:rFonts w:ascii="Tahoma" w:hAnsi="Tahoma" w:cs="Tahoma"/>
      <w:sz w:val="16"/>
      <w:szCs w:val="16"/>
    </w:rPr>
  </w:style>
  <w:style w:type="paragraph" w:styleId="ListeParagraf">
    <w:name w:val="List Paragraph"/>
    <w:basedOn w:val="Normal"/>
    <w:uiPriority w:val="34"/>
    <w:qFormat/>
    <w:rsid w:val="00EB4858"/>
    <w:pPr>
      <w:ind w:left="720"/>
      <w:contextualSpacing/>
    </w:pPr>
  </w:style>
  <w:style w:type="paragraph" w:styleId="BalonMetni">
    <w:name w:val="Balloon Text"/>
    <w:basedOn w:val="Normal"/>
    <w:link w:val="BalonMetniChar"/>
    <w:uiPriority w:val="99"/>
    <w:semiHidden/>
    <w:unhideWhenUsed/>
    <w:rsid w:val="00DC3E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E3C"/>
    <w:rPr>
      <w:rFonts w:ascii="Tahoma" w:hAnsi="Tahoma" w:cs="Tahoma"/>
      <w:sz w:val="16"/>
      <w:szCs w:val="16"/>
    </w:rPr>
  </w:style>
  <w:style w:type="paragraph" w:styleId="stBilgi">
    <w:name w:val="header"/>
    <w:basedOn w:val="Normal"/>
    <w:link w:val="stBilgiChar"/>
    <w:uiPriority w:val="99"/>
    <w:unhideWhenUsed/>
    <w:rsid w:val="00374FF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74FF4"/>
  </w:style>
  <w:style w:type="paragraph" w:styleId="AltBilgi">
    <w:name w:val="footer"/>
    <w:basedOn w:val="Normal"/>
    <w:link w:val="AltBilgiChar"/>
    <w:uiPriority w:val="99"/>
    <w:unhideWhenUsed/>
    <w:rsid w:val="00374FF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74FF4"/>
  </w:style>
  <w:style w:type="paragraph" w:customStyle="1" w:styleId="JuPara">
    <w:name w:val="Ju_Para"/>
    <w:aliases w:val="_Para"/>
    <w:basedOn w:val="Normal"/>
    <w:link w:val="JuParaChar"/>
    <w:uiPriority w:val="4"/>
    <w:qFormat/>
    <w:rsid w:val="009C0F26"/>
    <w:pPr>
      <w:spacing w:after="0" w:line="240" w:lineRule="auto"/>
      <w:ind w:firstLine="284"/>
      <w:jc w:val="both"/>
    </w:pPr>
    <w:rPr>
      <w:sz w:val="24"/>
      <w:szCs w:val="24"/>
      <w:lang w:val="en-GB"/>
    </w:rPr>
  </w:style>
  <w:style w:type="character" w:customStyle="1" w:styleId="JuParaChar">
    <w:name w:val="Ju_Para Char"/>
    <w:aliases w:val="_Para Char"/>
    <w:link w:val="JuPara"/>
    <w:uiPriority w:val="4"/>
    <w:locked/>
    <w:rsid w:val="009C0F26"/>
    <w:rPr>
      <w:sz w:val="24"/>
      <w:szCs w:val="24"/>
      <w:lang w:val="en-GB"/>
    </w:rPr>
  </w:style>
  <w:style w:type="character" w:styleId="Vurgu">
    <w:name w:val="Emphasis"/>
    <w:basedOn w:val="VarsaylanParagrafYazTipi"/>
    <w:uiPriority w:val="20"/>
    <w:qFormat/>
    <w:rsid w:val="00607D03"/>
    <w:rPr>
      <w:i/>
      <w:iCs/>
    </w:rPr>
  </w:style>
  <w:style w:type="character" w:customStyle="1" w:styleId="sb8d990e2">
    <w:name w:val="sb8d990e2"/>
    <w:rsid w:val="00B041B3"/>
  </w:style>
  <w:style w:type="character" w:customStyle="1" w:styleId="s6b621b36">
    <w:name w:val="s6b621b36"/>
    <w:basedOn w:val="VarsaylanParagrafYazTipi"/>
    <w:rsid w:val="007049EE"/>
  </w:style>
  <w:style w:type="character" w:styleId="Kpr">
    <w:name w:val="Hyperlink"/>
    <w:basedOn w:val="VarsaylanParagrafYazTipi"/>
    <w:uiPriority w:val="99"/>
    <w:semiHidden/>
    <w:unhideWhenUsed/>
    <w:rsid w:val="007049EE"/>
    <w:rPr>
      <w:color w:val="0000FF"/>
      <w:u w:val="single"/>
    </w:rPr>
  </w:style>
  <w:style w:type="paragraph" w:styleId="DipnotMetni">
    <w:name w:val="footnote text"/>
    <w:aliases w:val="Dipnot Metni Char Char Char Char,Dipnot Metni Char Char Char"/>
    <w:basedOn w:val="Normal"/>
    <w:link w:val="DipnotMetniChar"/>
    <w:uiPriority w:val="99"/>
    <w:unhideWhenUsed/>
    <w:rsid w:val="00043E3C"/>
    <w:pPr>
      <w:jc w:val="both"/>
    </w:pPr>
    <w:rPr>
      <w:rFonts w:ascii="Times New Roman" w:eastAsia="SimSun" w:hAnsi="Times New Roman" w:cs="Times New Roman"/>
      <w:sz w:val="20"/>
      <w:szCs w:val="20"/>
      <w:lang w:eastAsia="zh-CN"/>
    </w:rPr>
  </w:style>
  <w:style w:type="character" w:customStyle="1" w:styleId="DipnotMetniChar">
    <w:name w:val="Dipnot Metni Char"/>
    <w:aliases w:val="Dipnot Metni Char Char Char Char Char,Dipnot Metni Char Char Char Char1"/>
    <w:basedOn w:val="VarsaylanParagrafYazTipi"/>
    <w:link w:val="DipnotMetni"/>
    <w:uiPriority w:val="99"/>
    <w:rsid w:val="00043E3C"/>
    <w:rPr>
      <w:rFonts w:ascii="Times New Roman" w:eastAsia="SimSun" w:hAnsi="Times New Roman" w:cs="Times New Roman"/>
      <w:sz w:val="20"/>
      <w:szCs w:val="20"/>
      <w:lang w:eastAsia="zh-CN"/>
    </w:rPr>
  </w:style>
  <w:style w:type="character" w:styleId="DipnotBavurusu">
    <w:name w:val="footnote reference"/>
    <w:aliases w:val="4_G,Footnotes refss,Appel note de bas de p.,Footnote text,ftref"/>
    <w:uiPriority w:val="99"/>
    <w:unhideWhenUsed/>
    <w:qFormat/>
    <w:rsid w:val="00043E3C"/>
    <w:rPr>
      <w:rFonts w:ascii="Calibri" w:eastAsia="SimSun" w:hAnsi="Calibri" w:cs="Times New Roman"/>
      <w:vertAlign w:val="superscript"/>
    </w:rPr>
  </w:style>
  <w:style w:type="paragraph" w:styleId="DzMetin">
    <w:name w:val="Plain Text"/>
    <w:basedOn w:val="Normal"/>
    <w:link w:val="DzMetinChar"/>
    <w:rsid w:val="006B1958"/>
    <w:pPr>
      <w:spacing w:after="0" w:line="240" w:lineRule="auto"/>
      <w:jc w:val="both"/>
    </w:pPr>
    <w:rPr>
      <w:rFonts w:ascii="Courier New" w:eastAsia="Times New Roman" w:hAnsi="Courier New" w:cs="Times New Roman"/>
      <w:sz w:val="20"/>
      <w:szCs w:val="20"/>
      <w:lang w:eastAsia="zh-CN"/>
    </w:rPr>
  </w:style>
  <w:style w:type="character" w:customStyle="1" w:styleId="DzMetinChar">
    <w:name w:val="Düz Metin Char"/>
    <w:basedOn w:val="VarsaylanParagrafYazTipi"/>
    <w:link w:val="DzMetin"/>
    <w:rsid w:val="006B1958"/>
    <w:rPr>
      <w:rFonts w:ascii="Courier New" w:eastAsia="Times New Roman" w:hAnsi="Courier New" w:cs="Times New Roman"/>
      <w:sz w:val="20"/>
      <w:szCs w:val="20"/>
      <w:lang w:eastAsia="zh-CN"/>
    </w:rPr>
  </w:style>
  <w:style w:type="paragraph" w:customStyle="1" w:styleId="DIPSON">
    <w:name w:val="DIP SON"/>
    <w:basedOn w:val="Normal"/>
    <w:uiPriority w:val="99"/>
    <w:rsid w:val="0067087B"/>
    <w:pPr>
      <w:keepLines/>
      <w:autoSpaceDE w:val="0"/>
      <w:autoSpaceDN w:val="0"/>
      <w:adjustRightInd w:val="0"/>
      <w:spacing w:after="0" w:line="288" w:lineRule="auto"/>
      <w:ind w:left="283" w:hanging="283"/>
      <w:jc w:val="both"/>
      <w:textAlignment w:val="center"/>
    </w:pPr>
    <w:rPr>
      <w:rFonts w:ascii="Palatino Linotype" w:eastAsia="Calibri" w:hAnsi="Palatino Linotype" w:cs="Palatino Linotype"/>
      <w:color w:val="000000"/>
      <w:sz w:val="16"/>
      <w:szCs w:val="16"/>
    </w:rPr>
  </w:style>
  <w:style w:type="character" w:customStyle="1" w:styleId="Balk7Char">
    <w:name w:val="Başlık 7 Char"/>
    <w:basedOn w:val="VarsaylanParagrafYazTipi"/>
    <w:link w:val="Balk7"/>
    <w:uiPriority w:val="9"/>
    <w:rsid w:val="0067087B"/>
    <w:rPr>
      <w:rFonts w:ascii="Palatino Linotype" w:eastAsia="Times New Roman" w:hAnsi="Palatino Linotype" w:cs="Times New Roman"/>
      <w:b/>
      <w:sz w:val="24"/>
      <w:szCs w:val="24"/>
      <w:lang w:eastAsia="zh-CN"/>
    </w:rPr>
  </w:style>
  <w:style w:type="character" w:styleId="HafifVurgulama">
    <w:name w:val="Subtle Emphasis"/>
    <w:basedOn w:val="VarsaylanParagrafYazTipi"/>
    <w:uiPriority w:val="99"/>
    <w:qFormat/>
    <w:rsid w:val="0076685A"/>
    <w:rPr>
      <w:rFonts w:ascii="Calibri" w:eastAsia="SimSun" w:hAnsi="Calibri" w:cs="Times New Roman"/>
      <w:i/>
      <w:iCs/>
      <w:color w:val="808080"/>
    </w:rPr>
  </w:style>
  <w:style w:type="paragraph" w:customStyle="1" w:styleId="Default">
    <w:name w:val="Default"/>
    <w:rsid w:val="00B60AE6"/>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 w:type="paragraph" w:styleId="NormalWeb">
    <w:name w:val="Normal (Web)"/>
    <w:basedOn w:val="Normal"/>
    <w:uiPriority w:val="99"/>
    <w:unhideWhenUsed/>
    <w:rsid w:val="000D04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vl-default">
    <w:name w:val="hvl-default"/>
    <w:rsid w:val="000A7B71"/>
    <w:pPr>
      <w:widowControl w:val="0"/>
      <w:suppressAutoHyphens/>
      <w:spacing w:after="0" w:line="240" w:lineRule="auto"/>
    </w:pPr>
    <w:rPr>
      <w:rFonts w:ascii="Times New Roman" w:eastAsia="Andale Sans UI" w:hAnsi="Times New Roman" w:cs="Tahoma"/>
      <w:kern w:val="1"/>
      <w:sz w:val="24"/>
      <w:szCs w:val="24"/>
      <w:lang w:val="de-DE" w:eastAsia="fa-IR" w:bidi="fa-IR"/>
    </w:rPr>
  </w:style>
  <w:style w:type="paragraph" w:styleId="Alnt">
    <w:name w:val="Quote"/>
    <w:basedOn w:val="Normal"/>
    <w:next w:val="Normal"/>
    <w:link w:val="AlntChar"/>
    <w:uiPriority w:val="29"/>
    <w:qFormat/>
    <w:rsid w:val="000C70E8"/>
    <w:pPr>
      <w:spacing w:before="200" w:after="160"/>
      <w:ind w:left="864" w:right="864"/>
      <w:jc w:val="center"/>
    </w:pPr>
    <w:rPr>
      <w:rFonts w:ascii="Times New Roman" w:eastAsia="SimSun" w:hAnsi="Times New Roman" w:cs="Times New Roman"/>
      <w:i/>
      <w:iCs/>
      <w:color w:val="000000"/>
      <w:sz w:val="28"/>
      <w:lang w:eastAsia="zh-CN"/>
    </w:rPr>
  </w:style>
  <w:style w:type="character" w:customStyle="1" w:styleId="AlntChar">
    <w:name w:val="Alıntı Char"/>
    <w:link w:val="Alnt"/>
    <w:uiPriority w:val="29"/>
    <w:rsid w:val="000C70E8"/>
    <w:rPr>
      <w:rFonts w:ascii="Times New Roman" w:eastAsia="SimSun" w:hAnsi="Times New Roman" w:cs="Times New Roman"/>
      <w:i/>
      <w:iCs/>
      <w:color w:val="000000"/>
      <w:sz w:val="28"/>
      <w:szCs w:val="22"/>
      <w:lang w:eastAsia="zh-CN"/>
    </w:rPr>
  </w:style>
  <w:style w:type="character" w:customStyle="1" w:styleId="AlntChar1">
    <w:name w:val="Alıntı Char1"/>
    <w:basedOn w:val="VarsaylanParagrafYazTipi"/>
    <w:uiPriority w:val="29"/>
    <w:rsid w:val="000C70E8"/>
    <w:rPr>
      <w:i/>
      <w:iCs/>
      <w:color w:val="404040" w:themeColor="text1" w:themeTint="BF"/>
    </w:rPr>
  </w:style>
  <w:style w:type="character" w:styleId="Gl">
    <w:name w:val="Strong"/>
    <w:basedOn w:val="VarsaylanParagrafYazTipi"/>
    <w:uiPriority w:val="22"/>
    <w:qFormat/>
    <w:rsid w:val="008159AB"/>
    <w:rPr>
      <w:b/>
      <w:bCs/>
    </w:rPr>
  </w:style>
  <w:style w:type="character" w:customStyle="1" w:styleId="column">
    <w:name w:val="column"/>
    <w:basedOn w:val="VarsaylanParagrafYazTipi"/>
    <w:rsid w:val="008D4ED8"/>
  </w:style>
  <w:style w:type="character" w:customStyle="1" w:styleId="dairekarari">
    <w:name w:val="dairekarari"/>
    <w:basedOn w:val="VarsaylanParagrafYazTipi"/>
    <w:rsid w:val="00C17692"/>
  </w:style>
  <w:style w:type="character" w:customStyle="1" w:styleId="DipnotBavurusu1">
    <w:name w:val="Dipnot Başvurusu1"/>
    <w:rsid w:val="00AC3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87638">
      <w:bodyDiv w:val="1"/>
      <w:marLeft w:val="0"/>
      <w:marRight w:val="0"/>
      <w:marTop w:val="0"/>
      <w:marBottom w:val="0"/>
      <w:divBdr>
        <w:top w:val="none" w:sz="0" w:space="0" w:color="auto"/>
        <w:left w:val="none" w:sz="0" w:space="0" w:color="auto"/>
        <w:bottom w:val="none" w:sz="0" w:space="0" w:color="auto"/>
        <w:right w:val="none" w:sz="0" w:space="0" w:color="auto"/>
      </w:divBdr>
    </w:div>
    <w:div w:id="540021804">
      <w:bodyDiv w:val="1"/>
      <w:marLeft w:val="0"/>
      <w:marRight w:val="0"/>
      <w:marTop w:val="0"/>
      <w:marBottom w:val="0"/>
      <w:divBdr>
        <w:top w:val="none" w:sz="0" w:space="0" w:color="auto"/>
        <w:left w:val="none" w:sz="0" w:space="0" w:color="auto"/>
        <w:bottom w:val="none" w:sz="0" w:space="0" w:color="auto"/>
        <w:right w:val="none" w:sz="0" w:space="0" w:color="auto"/>
      </w:divBdr>
    </w:div>
    <w:div w:id="828449137">
      <w:bodyDiv w:val="1"/>
      <w:marLeft w:val="0"/>
      <w:marRight w:val="0"/>
      <w:marTop w:val="0"/>
      <w:marBottom w:val="0"/>
      <w:divBdr>
        <w:top w:val="none" w:sz="0" w:space="0" w:color="auto"/>
        <w:left w:val="none" w:sz="0" w:space="0" w:color="auto"/>
        <w:bottom w:val="none" w:sz="0" w:space="0" w:color="auto"/>
        <w:right w:val="none" w:sz="0" w:space="0" w:color="auto"/>
      </w:divBdr>
    </w:div>
    <w:div w:id="1201866012">
      <w:bodyDiv w:val="1"/>
      <w:marLeft w:val="0"/>
      <w:marRight w:val="0"/>
      <w:marTop w:val="0"/>
      <w:marBottom w:val="0"/>
      <w:divBdr>
        <w:top w:val="none" w:sz="0" w:space="0" w:color="auto"/>
        <w:left w:val="none" w:sz="0" w:space="0" w:color="auto"/>
        <w:bottom w:val="none" w:sz="0" w:space="0" w:color="auto"/>
        <w:right w:val="none" w:sz="0" w:space="0" w:color="auto"/>
      </w:divBdr>
    </w:div>
    <w:div w:id="184929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3512A-4C5E-42E0-ABEE-59589507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5813</Words>
  <Characters>33139</Characters>
  <Application>Microsoft Office Word</Application>
  <DocSecurity>0</DocSecurity>
  <Lines>276</Lines>
  <Paragraphs>77</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NeC</Company>
  <LinksUpToDate>false</LinksUpToDate>
  <CharactersWithSpaces>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nn hh</cp:lastModifiedBy>
  <cp:revision>5</cp:revision>
  <dcterms:created xsi:type="dcterms:W3CDTF">2022-09-16T20:21:00Z</dcterms:created>
  <dcterms:modified xsi:type="dcterms:W3CDTF">2025-08-03T22:20:00Z</dcterms:modified>
</cp:coreProperties>
</file>