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F6825" w14:textId="77777777" w:rsidR="00E03451" w:rsidRPr="00945DAA" w:rsidRDefault="00CB1D6C"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jc w:val="center"/>
        <w:outlineLvl w:val="0"/>
        <w:rPr>
          <w:rFonts w:ascii="Times New Roman" w:hAnsi="Times New Roman" w:cs="Times New Roman"/>
          <w:b/>
          <w:bCs/>
          <w:sz w:val="24"/>
          <w:szCs w:val="24"/>
          <w:u w:val="single"/>
        </w:rPr>
      </w:pPr>
      <w:r w:rsidRPr="00945DAA">
        <w:rPr>
          <w:rFonts w:ascii="Times New Roman" w:hAnsi="Times New Roman" w:cs="Times New Roman"/>
          <w:b/>
          <w:bCs/>
          <w:sz w:val="24"/>
          <w:szCs w:val="24"/>
          <w:u w:val="single"/>
        </w:rPr>
        <w:t>BAŞVURUYA</w:t>
      </w:r>
      <w:r w:rsidR="002675F6" w:rsidRPr="00945DAA">
        <w:rPr>
          <w:rFonts w:ascii="Times New Roman" w:hAnsi="Times New Roman" w:cs="Times New Roman"/>
          <w:b/>
          <w:bCs/>
          <w:sz w:val="24"/>
          <w:szCs w:val="24"/>
          <w:u w:val="single"/>
        </w:rPr>
        <w:t xml:space="preserve"> </w:t>
      </w:r>
      <w:r w:rsidR="008101F7" w:rsidRPr="00945DAA">
        <w:rPr>
          <w:rFonts w:ascii="Times New Roman" w:hAnsi="Times New Roman" w:cs="Times New Roman"/>
          <w:b/>
          <w:bCs/>
          <w:sz w:val="24"/>
          <w:szCs w:val="24"/>
          <w:u w:val="single"/>
        </w:rPr>
        <w:t>İLİŞKİN</w:t>
      </w:r>
      <w:r w:rsidR="0090175A" w:rsidRPr="00945DAA">
        <w:rPr>
          <w:rFonts w:ascii="Times New Roman" w:hAnsi="Times New Roman" w:cs="Times New Roman"/>
          <w:b/>
          <w:bCs/>
          <w:sz w:val="24"/>
          <w:szCs w:val="24"/>
          <w:u w:val="single"/>
        </w:rPr>
        <w:t xml:space="preserve"> </w:t>
      </w:r>
      <w:r w:rsidR="002675F6" w:rsidRPr="00945DAA">
        <w:rPr>
          <w:rFonts w:ascii="Times New Roman" w:hAnsi="Times New Roman" w:cs="Times New Roman"/>
          <w:b/>
          <w:bCs/>
          <w:sz w:val="24"/>
          <w:szCs w:val="24"/>
          <w:u w:val="single"/>
        </w:rPr>
        <w:t>AÇIKLAMALAR</w:t>
      </w:r>
    </w:p>
    <w:p w14:paraId="04FB18FB" w14:textId="77777777" w:rsidR="002675F6" w:rsidRPr="00945DAA" w:rsidRDefault="002675F6"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240" w:lineRule="auto"/>
        <w:outlineLvl w:val="0"/>
        <w:rPr>
          <w:rFonts w:ascii="Times New Roman" w:hAnsi="Times New Roman" w:cs="Times New Roman"/>
          <w:b/>
          <w:bCs/>
          <w:i/>
          <w:sz w:val="24"/>
          <w:szCs w:val="24"/>
        </w:rPr>
      </w:pPr>
      <w:r w:rsidRPr="00945DAA">
        <w:rPr>
          <w:rFonts w:ascii="Times New Roman" w:hAnsi="Times New Roman" w:cs="Times New Roman"/>
          <w:b/>
          <w:bCs/>
          <w:sz w:val="24"/>
          <w:szCs w:val="24"/>
        </w:rPr>
        <w:t>Başvurucu: ….</w:t>
      </w:r>
    </w:p>
    <w:p w14:paraId="2FF9F7E0" w14:textId="77777777" w:rsidR="00E03451" w:rsidRPr="00945DAA" w:rsidRDefault="005C38C7"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tr-TR"/>
        </w:rPr>
      </w:pPr>
      <w:r w:rsidRPr="00945DAA">
        <w:rPr>
          <w:rFonts w:ascii="Times New Roman" w:eastAsia="Times New Roman" w:hAnsi="Times New Roman" w:cs="Times New Roman"/>
          <w:b/>
          <w:bCs/>
          <w:sz w:val="24"/>
          <w:szCs w:val="24"/>
          <w:lang w:eastAsia="tr-TR"/>
        </w:rPr>
        <w:t>1</w:t>
      </w:r>
      <w:r w:rsidR="00E03451" w:rsidRPr="00945DAA">
        <w:rPr>
          <w:rFonts w:ascii="Times New Roman" w:eastAsia="Times New Roman" w:hAnsi="Times New Roman" w:cs="Times New Roman"/>
          <w:b/>
          <w:bCs/>
          <w:sz w:val="24"/>
          <w:szCs w:val="24"/>
          <w:lang w:eastAsia="tr-TR"/>
        </w:rPr>
        <w:t xml:space="preserve">) </w:t>
      </w:r>
      <w:r w:rsidR="00043E3C" w:rsidRPr="00945DAA">
        <w:rPr>
          <w:rFonts w:ascii="Times New Roman" w:eastAsia="Times New Roman" w:hAnsi="Times New Roman" w:cs="Times New Roman"/>
          <w:b/>
          <w:bCs/>
          <w:sz w:val="24"/>
          <w:szCs w:val="24"/>
          <w:lang w:eastAsia="tr-TR"/>
        </w:rPr>
        <w:t>Ankesörlü Telefonlardan (Sabit Hat) Aranma</w:t>
      </w:r>
    </w:p>
    <w:p w14:paraId="23A72A0A" w14:textId="77777777" w:rsidR="00A22362" w:rsidRPr="00945DAA" w:rsidRDefault="002F34A1"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Times New Roman"/>
          <w:bCs/>
          <w:sz w:val="24"/>
          <w:szCs w:val="24"/>
          <w:lang w:eastAsia="tr-TR"/>
        </w:rPr>
      </w:pPr>
      <w:r w:rsidRPr="00945DAA">
        <w:rPr>
          <w:rFonts w:ascii="Times New Roman" w:eastAsia="Times New Roman" w:hAnsi="Times New Roman" w:cs="Times New Roman"/>
          <w:bCs/>
          <w:sz w:val="24"/>
          <w:szCs w:val="24"/>
          <w:lang w:eastAsia="tr-TR"/>
        </w:rPr>
        <w:t>Hakkım</w:t>
      </w:r>
      <w:r w:rsidR="00043E3C" w:rsidRPr="00945DAA">
        <w:rPr>
          <w:rFonts w:ascii="Times New Roman" w:eastAsia="Times New Roman" w:hAnsi="Times New Roman" w:cs="Times New Roman"/>
          <w:bCs/>
          <w:sz w:val="24"/>
          <w:szCs w:val="24"/>
          <w:lang w:eastAsia="tr-TR"/>
        </w:rPr>
        <w:t>da ankesörlü telefonlardan arandığı</w:t>
      </w:r>
      <w:r w:rsidRPr="00945DAA">
        <w:rPr>
          <w:rFonts w:ascii="Times New Roman" w:eastAsia="Times New Roman" w:hAnsi="Times New Roman" w:cs="Times New Roman"/>
          <w:bCs/>
          <w:sz w:val="24"/>
          <w:szCs w:val="24"/>
          <w:lang w:eastAsia="tr-TR"/>
        </w:rPr>
        <w:t>m</w:t>
      </w:r>
      <w:r w:rsidR="00043E3C" w:rsidRPr="00945DAA">
        <w:rPr>
          <w:rFonts w:ascii="Times New Roman" w:eastAsia="Times New Roman" w:hAnsi="Times New Roman" w:cs="Times New Roman"/>
          <w:bCs/>
          <w:sz w:val="24"/>
          <w:szCs w:val="24"/>
          <w:lang w:eastAsia="tr-TR"/>
        </w:rPr>
        <w:t xml:space="preserve"> iddiasıyla soruşturma açılmış</w:t>
      </w:r>
      <w:r w:rsidRPr="00945DAA">
        <w:rPr>
          <w:rFonts w:ascii="Times New Roman" w:eastAsia="Times New Roman" w:hAnsi="Times New Roman" w:cs="Times New Roman"/>
          <w:bCs/>
          <w:sz w:val="24"/>
          <w:szCs w:val="24"/>
          <w:lang w:eastAsia="tr-TR"/>
        </w:rPr>
        <w:t xml:space="preserve"> olup</w:t>
      </w:r>
      <w:r w:rsidR="00043E3C" w:rsidRPr="00945DAA">
        <w:rPr>
          <w:rFonts w:ascii="Times New Roman" w:eastAsia="Times New Roman" w:hAnsi="Times New Roman" w:cs="Times New Roman"/>
          <w:bCs/>
          <w:sz w:val="24"/>
          <w:szCs w:val="24"/>
          <w:lang w:eastAsia="tr-TR"/>
        </w:rPr>
        <w:t xml:space="preserve"> bu iddiaya dayanarak mahkum edil</w:t>
      </w:r>
      <w:r w:rsidRPr="00945DAA">
        <w:rPr>
          <w:rFonts w:ascii="Times New Roman" w:eastAsia="Times New Roman" w:hAnsi="Times New Roman" w:cs="Times New Roman"/>
          <w:bCs/>
          <w:sz w:val="24"/>
          <w:szCs w:val="24"/>
          <w:lang w:eastAsia="tr-TR"/>
        </w:rPr>
        <w:t>dim</w:t>
      </w:r>
      <w:r w:rsidR="00043E3C" w:rsidRPr="00945DAA">
        <w:rPr>
          <w:rFonts w:ascii="Times New Roman" w:eastAsia="Times New Roman" w:hAnsi="Times New Roman" w:cs="Times New Roman"/>
          <w:bCs/>
          <w:sz w:val="24"/>
          <w:szCs w:val="24"/>
          <w:lang w:eastAsia="tr-TR"/>
        </w:rPr>
        <w:t xml:space="preserve">. </w:t>
      </w:r>
    </w:p>
    <w:p w14:paraId="5F04770E" w14:textId="77777777" w:rsidR="00385661" w:rsidRPr="00945DAA" w:rsidRDefault="00A22362"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eastAsia="Times New Roman" w:hAnsi="Times New Roman" w:cs="Times New Roman"/>
          <w:bCs/>
          <w:sz w:val="24"/>
          <w:szCs w:val="24"/>
          <w:lang w:eastAsia="tr-TR"/>
        </w:rPr>
        <w:t>Öncelikle,</w:t>
      </w:r>
      <w:r w:rsidR="00043E3C" w:rsidRPr="00945DAA">
        <w:rPr>
          <w:rFonts w:ascii="Times New Roman" w:eastAsia="Times New Roman" w:hAnsi="Times New Roman" w:cs="Times New Roman"/>
          <w:bCs/>
          <w:sz w:val="24"/>
          <w:szCs w:val="24"/>
          <w:lang w:eastAsia="tr-TR"/>
        </w:rPr>
        <w:t xml:space="preserve"> </w:t>
      </w:r>
      <w:r w:rsidR="00043E3C" w:rsidRPr="00945DAA">
        <w:rPr>
          <w:rFonts w:ascii="Times New Roman" w:hAnsi="Times New Roman" w:cs="Times New Roman"/>
          <w:sz w:val="24"/>
          <w:szCs w:val="24"/>
        </w:rPr>
        <w:t>ankesörlü telefon görüşmelerine ilişkin HTS kayıtlarının delil niteliği</w:t>
      </w:r>
      <w:r w:rsidR="00074D47" w:rsidRPr="00945DAA">
        <w:rPr>
          <w:rFonts w:ascii="Times New Roman" w:hAnsi="Times New Roman" w:cs="Times New Roman"/>
          <w:sz w:val="24"/>
          <w:szCs w:val="24"/>
        </w:rPr>
        <w:t>nin</w:t>
      </w:r>
      <w:r w:rsidR="00043E3C" w:rsidRPr="00945DAA">
        <w:rPr>
          <w:rFonts w:ascii="Times New Roman" w:hAnsi="Times New Roman" w:cs="Times New Roman"/>
          <w:sz w:val="24"/>
          <w:szCs w:val="24"/>
        </w:rPr>
        <w:t xml:space="preserve"> CMK’nın </w:t>
      </w:r>
      <w:r w:rsidR="00043E3C" w:rsidRPr="00945DAA">
        <w:rPr>
          <w:rFonts w:ascii="Times New Roman" w:hAnsi="Times New Roman" w:cs="Times New Roman"/>
          <w:i/>
          <w:sz w:val="24"/>
          <w:szCs w:val="24"/>
        </w:rPr>
        <w:t>“İletişimin tespiti, dinlenmesi ve kayda alınması”</w:t>
      </w:r>
      <w:r w:rsidR="00043E3C" w:rsidRPr="00945DAA">
        <w:rPr>
          <w:rFonts w:ascii="Times New Roman" w:hAnsi="Times New Roman" w:cs="Times New Roman"/>
          <w:sz w:val="24"/>
          <w:szCs w:val="24"/>
        </w:rPr>
        <w:t xml:space="preserve"> başlıklı 135. maddesi kapsamında değerlendirilmesi gerekmektedir.</w:t>
      </w:r>
      <w:r w:rsidRPr="00945DAA">
        <w:rPr>
          <w:rFonts w:ascii="Times New Roman" w:hAnsi="Times New Roman" w:cs="Times New Roman"/>
          <w:sz w:val="24"/>
          <w:szCs w:val="24"/>
        </w:rPr>
        <w:t xml:space="preserve"> </w:t>
      </w:r>
      <w:r w:rsidR="00385661" w:rsidRPr="00945DAA">
        <w:rPr>
          <w:rFonts w:ascii="Times New Roman" w:hAnsi="Times New Roman" w:cs="Times New Roman"/>
          <w:sz w:val="24"/>
          <w:szCs w:val="24"/>
        </w:rPr>
        <w:t xml:space="preserve">CMK’nın 135/1. maddesi gereğince iletişimin tespiti kararı verilebilmesi için; bir suç soruşturması veya kovuşturmasında, suç işlendiğine ilişkin somut delillere dayanan kuvvetli şüphe sebeplerinin varlığı ve başka suretle delil elde etme imkânının bulunmaması </w:t>
      </w:r>
      <w:r w:rsidR="00074D47" w:rsidRPr="00945DAA">
        <w:rPr>
          <w:rFonts w:ascii="Times New Roman" w:hAnsi="Times New Roman" w:cs="Times New Roman"/>
          <w:sz w:val="24"/>
          <w:szCs w:val="24"/>
        </w:rPr>
        <w:t>aranmaktadır</w:t>
      </w:r>
      <w:r w:rsidR="00385661" w:rsidRPr="00945DAA">
        <w:rPr>
          <w:rFonts w:ascii="Times New Roman" w:hAnsi="Times New Roman" w:cs="Times New Roman"/>
          <w:sz w:val="24"/>
          <w:szCs w:val="24"/>
        </w:rPr>
        <w:t>. Yani tedbir kararı verebilmesi, maddede yazılı şartların tümünün birden aynı anda gerçekleşmesine bağlıdır.</w:t>
      </w:r>
      <w:r w:rsidR="009B608D" w:rsidRPr="00945DAA">
        <w:rPr>
          <w:rStyle w:val="DipnotBavurusu"/>
          <w:rFonts w:ascii="Times New Roman" w:hAnsi="Times New Roman"/>
          <w:sz w:val="24"/>
          <w:szCs w:val="24"/>
        </w:rPr>
        <w:footnoteReference w:id="1"/>
      </w:r>
    </w:p>
    <w:p w14:paraId="4958417B" w14:textId="77777777" w:rsidR="006A708B" w:rsidRPr="00945DAA" w:rsidRDefault="006A708B"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eastAsia="Times New Roman" w:hAnsi="Times New Roman" w:cs="Times New Roman"/>
          <w:b/>
          <w:bCs/>
          <w:i/>
          <w:sz w:val="24"/>
          <w:szCs w:val="24"/>
          <w:lang w:eastAsia="tr-TR"/>
        </w:rPr>
      </w:pPr>
      <w:r w:rsidRPr="00945DAA">
        <w:rPr>
          <w:rFonts w:ascii="Times New Roman" w:hAnsi="Times New Roman" w:cs="Times New Roman"/>
          <w:b/>
          <w:i/>
          <w:sz w:val="24"/>
          <w:szCs w:val="24"/>
        </w:rPr>
        <w:t>a. Usulüne Uygun Olarak Başlatılan Bir Soruşturmanın Mevcudiyeti</w:t>
      </w:r>
    </w:p>
    <w:p w14:paraId="59D4ED04" w14:textId="68C5F2B1" w:rsidR="00E03451" w:rsidRPr="00945DAA" w:rsidRDefault="00385661"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Bu tedbirin uygulanmasının ön şartı, usulüne uygun olarak başlatılmış bir soruşturmanın varlığıdır ve hedef kişi, bu soruşturmanın </w:t>
      </w:r>
      <w:r w:rsidRPr="00945DAA">
        <w:rPr>
          <w:rFonts w:ascii="Times New Roman" w:hAnsi="Times New Roman" w:cs="Times New Roman"/>
          <w:i/>
          <w:sz w:val="24"/>
          <w:szCs w:val="24"/>
        </w:rPr>
        <w:t>“şüphelisi”</w:t>
      </w:r>
      <w:r w:rsidRPr="00945DAA">
        <w:rPr>
          <w:rFonts w:ascii="Times New Roman" w:hAnsi="Times New Roman" w:cs="Times New Roman"/>
          <w:sz w:val="24"/>
          <w:szCs w:val="24"/>
        </w:rPr>
        <w:t xml:space="preserve"> veya kovuşturmanın </w:t>
      </w:r>
      <w:r w:rsidRPr="00945DAA">
        <w:rPr>
          <w:rFonts w:ascii="Times New Roman" w:hAnsi="Times New Roman" w:cs="Times New Roman"/>
          <w:i/>
          <w:sz w:val="24"/>
          <w:szCs w:val="24"/>
        </w:rPr>
        <w:t>“sanığı”</w:t>
      </w:r>
      <w:r w:rsidRPr="00945DAA">
        <w:rPr>
          <w:rFonts w:ascii="Times New Roman" w:hAnsi="Times New Roman" w:cs="Times New Roman"/>
          <w:sz w:val="24"/>
          <w:szCs w:val="24"/>
        </w:rPr>
        <w:t xml:space="preserve"> olmalıdır. </w:t>
      </w:r>
      <w:r w:rsidRPr="00945DAA">
        <w:rPr>
          <w:rFonts w:ascii="Times New Roman" w:hAnsi="Times New Roman" w:cs="Times New Roman"/>
          <w:b/>
          <w:sz w:val="24"/>
          <w:szCs w:val="24"/>
        </w:rPr>
        <w:t>Şüpheli bilinmiyorsa tedbir kararı verilemez ve uygulanamaz.</w:t>
      </w:r>
      <w:r w:rsidRPr="00945DAA">
        <w:rPr>
          <w:rFonts w:ascii="Times New Roman" w:hAnsi="Times New Roman" w:cs="Times New Roman"/>
          <w:sz w:val="24"/>
          <w:szCs w:val="24"/>
        </w:rPr>
        <w:t xml:space="preserve"> Oysaki ankesörlü hattan aranma dosyalarında</w:t>
      </w:r>
      <w:r w:rsidR="00945DAA">
        <w:rPr>
          <w:rFonts w:ascii="Times New Roman" w:hAnsi="Times New Roman" w:cs="Times New Roman"/>
          <w:sz w:val="24"/>
          <w:szCs w:val="24"/>
        </w:rPr>
        <w:t xml:space="preserve">, hakkında </w:t>
      </w:r>
      <w:r w:rsidRPr="00945DAA">
        <w:rPr>
          <w:rFonts w:ascii="Times New Roman" w:hAnsi="Times New Roman" w:cs="Times New Roman"/>
          <w:sz w:val="24"/>
          <w:szCs w:val="24"/>
        </w:rPr>
        <w:t>herhangi bir soruşturma bulunmayan kişiler</w:t>
      </w:r>
      <w:r w:rsidR="00945DAA">
        <w:rPr>
          <w:rFonts w:ascii="Times New Roman" w:hAnsi="Times New Roman" w:cs="Times New Roman"/>
          <w:sz w:val="24"/>
          <w:szCs w:val="24"/>
        </w:rPr>
        <w:t xml:space="preserve">le ilgili </w:t>
      </w:r>
      <w:r w:rsidRPr="00945DAA">
        <w:rPr>
          <w:rFonts w:ascii="Times New Roman" w:hAnsi="Times New Roman" w:cs="Times New Roman"/>
          <w:sz w:val="24"/>
          <w:szCs w:val="24"/>
        </w:rPr>
        <w:t>(sabit telefonun adına kayıtlı olduğu kişi, büfe sahibi) iletişimin tespiti kararı verilmiş;</w:t>
      </w:r>
      <w:r w:rsidR="00074D47" w:rsidRPr="00945DAA">
        <w:rPr>
          <w:rFonts w:ascii="Times New Roman" w:hAnsi="Times New Roman" w:cs="Times New Roman"/>
          <w:sz w:val="24"/>
          <w:szCs w:val="24"/>
        </w:rPr>
        <w:t xml:space="preserve"> bundan hareketle, ilgili</w:t>
      </w:r>
      <w:r w:rsidR="00A22362" w:rsidRPr="00945DAA">
        <w:rPr>
          <w:rFonts w:ascii="Times New Roman" w:hAnsi="Times New Roman" w:cs="Times New Roman"/>
          <w:sz w:val="24"/>
          <w:szCs w:val="24"/>
        </w:rPr>
        <w:t xml:space="preserve"> kişilere ait HTS kayıtları</w:t>
      </w:r>
      <w:r w:rsidRPr="00945DAA">
        <w:rPr>
          <w:rFonts w:ascii="Times New Roman" w:hAnsi="Times New Roman" w:cs="Times New Roman"/>
          <w:sz w:val="24"/>
          <w:szCs w:val="24"/>
        </w:rPr>
        <w:t xml:space="preserve"> temin edilmiş ve elde edilen kayıtlar üzerinde çalışma/analiz yapıldıktan</w:t>
      </w:r>
      <w:r w:rsidR="00A22362" w:rsidRPr="00945DAA">
        <w:rPr>
          <w:rFonts w:ascii="Times New Roman" w:hAnsi="Times New Roman" w:cs="Times New Roman"/>
          <w:sz w:val="24"/>
          <w:szCs w:val="24"/>
        </w:rPr>
        <w:t xml:space="preserve"> sonra bu hattan aranan kişilerden</w:t>
      </w:r>
      <w:r w:rsidRPr="00945DAA">
        <w:rPr>
          <w:rFonts w:ascii="Times New Roman" w:hAnsi="Times New Roman" w:cs="Times New Roman"/>
          <w:sz w:val="24"/>
          <w:szCs w:val="24"/>
        </w:rPr>
        <w:t xml:space="preserve"> sadece bir kısmı şüpheli yapılmıştır. </w:t>
      </w:r>
      <w:r w:rsidR="00A22362" w:rsidRPr="00945DAA">
        <w:rPr>
          <w:rFonts w:ascii="Times New Roman" w:hAnsi="Times New Roman" w:cs="Times New Roman"/>
          <w:sz w:val="24"/>
          <w:szCs w:val="24"/>
        </w:rPr>
        <w:t>İzlenen bu usul, yani</w:t>
      </w:r>
      <w:r w:rsidRPr="00945DAA">
        <w:rPr>
          <w:rFonts w:ascii="Times New Roman" w:hAnsi="Times New Roman" w:cs="Times New Roman"/>
          <w:sz w:val="24"/>
          <w:szCs w:val="24"/>
        </w:rPr>
        <w:t>, şüpheli sıfatı olmayan belirsiz sayıdaki kişiye, bir bölgeye veya belirli bir meslek grubuna yönelik olarak bu tedbirin uygulanması CMK’nın 135. maddesine aykırıdır.</w:t>
      </w:r>
    </w:p>
    <w:p w14:paraId="7BEC0E26" w14:textId="77777777" w:rsidR="00385661" w:rsidRPr="00945DAA" w:rsidRDefault="00385661" w:rsidP="006E5730">
      <w:pPr>
        <w:tabs>
          <w:tab w:val="left" w:pos="284"/>
          <w:tab w:val="left" w:pos="567"/>
          <w:tab w:val="left" w:pos="851"/>
          <w:tab w:val="left" w:pos="1134"/>
          <w:tab w:val="left" w:pos="1418"/>
        </w:tabs>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CMK’nın 138/2 maddesi gereğince, </w:t>
      </w:r>
      <w:r w:rsidR="006A708B" w:rsidRPr="00945DAA">
        <w:rPr>
          <w:rFonts w:ascii="Times New Roman" w:hAnsi="Times New Roman" w:cs="Times New Roman"/>
          <w:sz w:val="24"/>
          <w:szCs w:val="24"/>
        </w:rPr>
        <w:t xml:space="preserve">geçerli bir </w:t>
      </w:r>
      <w:r w:rsidRPr="00945DAA">
        <w:rPr>
          <w:rFonts w:ascii="Times New Roman" w:hAnsi="Times New Roman" w:cs="Times New Roman"/>
          <w:sz w:val="24"/>
          <w:szCs w:val="24"/>
        </w:rPr>
        <w:t xml:space="preserve">iletişimin denetlenmesi sırasında hakkında soruşturma veya kovuşturma bulunmayan kişilerle ilgili delil elde edilirse durum </w:t>
      </w:r>
      <w:r w:rsidR="006A708B" w:rsidRPr="00945DAA">
        <w:rPr>
          <w:rFonts w:ascii="Times New Roman" w:hAnsi="Times New Roman" w:cs="Times New Roman"/>
          <w:sz w:val="24"/>
          <w:szCs w:val="24"/>
        </w:rPr>
        <w:t>savcılığa</w:t>
      </w:r>
      <w:r w:rsidRPr="00945DAA">
        <w:rPr>
          <w:rFonts w:ascii="Times New Roman" w:hAnsi="Times New Roman" w:cs="Times New Roman"/>
          <w:sz w:val="24"/>
          <w:szCs w:val="24"/>
        </w:rPr>
        <w:t xml:space="preserve"> bildirilecek</w:t>
      </w:r>
      <w:r w:rsidR="006A708B" w:rsidRPr="00945DAA">
        <w:rPr>
          <w:rFonts w:ascii="Times New Roman" w:hAnsi="Times New Roman" w:cs="Times New Roman"/>
          <w:sz w:val="24"/>
          <w:szCs w:val="24"/>
        </w:rPr>
        <w:t xml:space="preserve">; </w:t>
      </w:r>
      <w:r w:rsidRPr="00945DAA">
        <w:rPr>
          <w:rFonts w:ascii="Times New Roman" w:hAnsi="Times New Roman" w:cs="Times New Roman"/>
          <w:sz w:val="24"/>
          <w:szCs w:val="24"/>
        </w:rPr>
        <w:t>savcılık yapacağı değerlendirme neticesinde elde edilen delilleri soruşturma açmaya yeterli görürse ilgililer hakkında soruşturma açılacak ve o kişilerle ilgili yeni bir tedbir kararı alınacaktır.</w:t>
      </w:r>
      <w:r w:rsidR="006A708B" w:rsidRPr="00945DAA">
        <w:rPr>
          <w:rFonts w:ascii="Times New Roman" w:hAnsi="Times New Roman" w:cs="Times New Roman"/>
          <w:sz w:val="24"/>
          <w:szCs w:val="24"/>
          <w:vertAlign w:val="superscript"/>
        </w:rPr>
        <w:t xml:space="preserve"> </w:t>
      </w:r>
      <w:r w:rsidRPr="00945DAA">
        <w:rPr>
          <w:rFonts w:ascii="Times New Roman" w:hAnsi="Times New Roman" w:cs="Times New Roman"/>
          <w:sz w:val="24"/>
          <w:szCs w:val="24"/>
        </w:rPr>
        <w:t xml:space="preserve">Sabit hattan aranma dosyalarında böyle bir durum da yoktur. </w:t>
      </w:r>
      <w:r w:rsidR="00A22362" w:rsidRPr="00945DAA">
        <w:rPr>
          <w:rFonts w:ascii="Times New Roman" w:hAnsi="Times New Roman" w:cs="Times New Roman"/>
          <w:sz w:val="24"/>
          <w:szCs w:val="24"/>
        </w:rPr>
        <w:t>Hakkımda</w:t>
      </w:r>
      <w:r w:rsidRPr="00945DAA">
        <w:rPr>
          <w:rFonts w:ascii="Times New Roman" w:hAnsi="Times New Roman" w:cs="Times New Roman"/>
          <w:sz w:val="24"/>
          <w:szCs w:val="24"/>
        </w:rPr>
        <w:t xml:space="preserve"> yürütülmekte olan herhangi bir soruşturma ve bu soruşturma kapsamında verilmiş bir tedbir kararı bulunmamakta</w:t>
      </w:r>
      <w:r w:rsidR="006A708B" w:rsidRPr="00945DAA">
        <w:rPr>
          <w:rFonts w:ascii="Times New Roman" w:hAnsi="Times New Roman" w:cs="Times New Roman"/>
          <w:sz w:val="24"/>
          <w:szCs w:val="24"/>
        </w:rPr>
        <w:t>ydı</w:t>
      </w:r>
      <w:r w:rsidRPr="00945DAA">
        <w:rPr>
          <w:rFonts w:ascii="Times New Roman" w:hAnsi="Times New Roman" w:cs="Times New Roman"/>
          <w:sz w:val="24"/>
          <w:szCs w:val="24"/>
        </w:rPr>
        <w:t>.</w:t>
      </w:r>
      <w:r w:rsidR="00A70D99" w:rsidRPr="00945DAA">
        <w:rPr>
          <w:rStyle w:val="DipnotBavurusu"/>
          <w:rFonts w:ascii="Times New Roman" w:hAnsi="Times New Roman"/>
          <w:sz w:val="24"/>
          <w:szCs w:val="24"/>
        </w:rPr>
        <w:footnoteReference w:id="2"/>
      </w:r>
      <w:r w:rsidRPr="00945DAA">
        <w:rPr>
          <w:rFonts w:ascii="Times New Roman" w:hAnsi="Times New Roman" w:cs="Times New Roman"/>
          <w:sz w:val="24"/>
          <w:szCs w:val="24"/>
        </w:rPr>
        <w:t xml:space="preserve"> Yani, HTS kayıtları CMK’nın 138/2 maddesine göre değil, şartları oluşmamasına rağmen CMK’nın 135/6. maddesine göre elde edilmiştir.</w:t>
      </w:r>
    </w:p>
    <w:p w14:paraId="29E7BB7F" w14:textId="77777777" w:rsidR="006A708B" w:rsidRPr="00945DAA" w:rsidRDefault="006A708B" w:rsidP="006E5730">
      <w:pPr>
        <w:keepNext/>
        <w:tabs>
          <w:tab w:val="left" w:pos="567"/>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b. Suç İşlendiğine İlişkin Somut Delillere Dayalı Kuvvetli Şüphe Sebeplerinin Varlığı</w:t>
      </w:r>
    </w:p>
    <w:p w14:paraId="3A10BBFF" w14:textId="77777777" w:rsidR="00385661" w:rsidRPr="00945DAA" w:rsidRDefault="006A708B"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CMK’nın 135/1. maddesi gereğince iletişimin tespitine karar verilebilmesi için suç işlendiğine ilişkin “</w:t>
      </w:r>
      <w:r w:rsidRPr="00945DAA">
        <w:rPr>
          <w:rFonts w:ascii="Times New Roman" w:hAnsi="Times New Roman" w:cs="Times New Roman"/>
          <w:i/>
          <w:sz w:val="24"/>
          <w:szCs w:val="24"/>
        </w:rPr>
        <w:t>kuvvetli şüphe”</w:t>
      </w:r>
      <w:r w:rsidRPr="00945DAA">
        <w:rPr>
          <w:rFonts w:ascii="Times New Roman" w:hAnsi="Times New Roman" w:cs="Times New Roman"/>
          <w:sz w:val="24"/>
          <w:szCs w:val="24"/>
        </w:rPr>
        <w:t xml:space="preserve"> sebeplerinin bulunması ve bunların </w:t>
      </w:r>
      <w:r w:rsidRPr="00945DAA">
        <w:rPr>
          <w:rFonts w:ascii="Times New Roman" w:hAnsi="Times New Roman" w:cs="Times New Roman"/>
          <w:i/>
          <w:sz w:val="24"/>
          <w:szCs w:val="24"/>
        </w:rPr>
        <w:t>“somut delillere dayanması”</w:t>
      </w:r>
      <w:r w:rsidRPr="00945DAA">
        <w:rPr>
          <w:rFonts w:ascii="Times New Roman" w:hAnsi="Times New Roman" w:cs="Times New Roman"/>
          <w:sz w:val="24"/>
          <w:szCs w:val="24"/>
        </w:rPr>
        <w:t xml:space="preserve"> gerekir. Dolayısıyla, iletişimin tespitine karar verecek hakimliğin kuvvetli şüphe sebeplerini oluşturan delillerin neler olduğunu gösterme yükümlülüğü </w:t>
      </w:r>
      <w:r w:rsidR="00074D47" w:rsidRPr="00945DAA">
        <w:rPr>
          <w:rFonts w:ascii="Times New Roman" w:hAnsi="Times New Roman" w:cs="Times New Roman"/>
          <w:sz w:val="24"/>
          <w:szCs w:val="24"/>
        </w:rPr>
        <w:t>vardır</w:t>
      </w:r>
      <w:r w:rsidRPr="00945DAA">
        <w:rPr>
          <w:rFonts w:ascii="Times New Roman" w:hAnsi="Times New Roman" w:cs="Times New Roman"/>
          <w:sz w:val="24"/>
          <w:szCs w:val="24"/>
        </w:rPr>
        <w:t>.</w:t>
      </w:r>
    </w:p>
    <w:p w14:paraId="06D361C8" w14:textId="057806BD" w:rsidR="00804C1A" w:rsidRPr="00945DAA" w:rsidRDefault="007A4066"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Ankesörlü telefon aramalarına ilişkin soruşturma</w:t>
      </w:r>
      <w:r w:rsidR="00074D47" w:rsidRPr="00945DAA">
        <w:rPr>
          <w:rFonts w:ascii="Times New Roman" w:hAnsi="Times New Roman" w:cs="Times New Roman"/>
          <w:sz w:val="24"/>
          <w:szCs w:val="24"/>
        </w:rPr>
        <w:t>da</w:t>
      </w:r>
      <w:r w:rsidRPr="00945DAA">
        <w:rPr>
          <w:rFonts w:ascii="Times New Roman" w:hAnsi="Times New Roman" w:cs="Times New Roman"/>
          <w:sz w:val="24"/>
          <w:szCs w:val="24"/>
        </w:rPr>
        <w:t>, hak</w:t>
      </w:r>
      <w:r w:rsidR="00A22362" w:rsidRPr="00945DAA">
        <w:rPr>
          <w:rFonts w:ascii="Times New Roman" w:hAnsi="Times New Roman" w:cs="Times New Roman"/>
          <w:sz w:val="24"/>
          <w:szCs w:val="24"/>
        </w:rPr>
        <w:t>kımda</w:t>
      </w:r>
      <w:r w:rsidRPr="00945DAA">
        <w:rPr>
          <w:rFonts w:ascii="Times New Roman" w:hAnsi="Times New Roman" w:cs="Times New Roman"/>
          <w:sz w:val="24"/>
          <w:szCs w:val="24"/>
        </w:rPr>
        <w:t xml:space="preserve"> herhangi bir </w:t>
      </w:r>
      <w:r w:rsidR="00074D47" w:rsidRPr="00945DAA">
        <w:rPr>
          <w:rFonts w:ascii="Times New Roman" w:hAnsi="Times New Roman" w:cs="Times New Roman"/>
          <w:sz w:val="24"/>
          <w:szCs w:val="24"/>
        </w:rPr>
        <w:t xml:space="preserve">adli takibat </w:t>
      </w:r>
      <w:r w:rsidRPr="00945DAA">
        <w:rPr>
          <w:rFonts w:ascii="Times New Roman" w:hAnsi="Times New Roman" w:cs="Times New Roman"/>
          <w:sz w:val="24"/>
          <w:szCs w:val="24"/>
        </w:rPr>
        <w:t>bulunma</w:t>
      </w:r>
      <w:r w:rsidR="00074D47" w:rsidRPr="00945DAA">
        <w:rPr>
          <w:rFonts w:ascii="Times New Roman" w:hAnsi="Times New Roman" w:cs="Times New Roman"/>
          <w:sz w:val="24"/>
          <w:szCs w:val="24"/>
        </w:rPr>
        <w:t>masına karşın,</w:t>
      </w:r>
      <w:r w:rsidRPr="00945DAA">
        <w:rPr>
          <w:rFonts w:ascii="Times New Roman" w:hAnsi="Times New Roman" w:cs="Times New Roman"/>
          <w:sz w:val="24"/>
          <w:szCs w:val="24"/>
        </w:rPr>
        <w:t xml:space="preserve"> HTS kayıtları</w:t>
      </w:r>
      <w:r w:rsidR="00A22362" w:rsidRPr="00945DAA">
        <w:rPr>
          <w:rFonts w:ascii="Times New Roman" w:hAnsi="Times New Roman" w:cs="Times New Roman"/>
          <w:sz w:val="24"/>
          <w:szCs w:val="24"/>
        </w:rPr>
        <w:t>m</w:t>
      </w:r>
      <w:r w:rsidRPr="00945DAA">
        <w:rPr>
          <w:rFonts w:ascii="Times New Roman" w:hAnsi="Times New Roman" w:cs="Times New Roman"/>
          <w:sz w:val="24"/>
          <w:szCs w:val="24"/>
        </w:rPr>
        <w:t xml:space="preserve"> somut delillere dayalı şüphe sebepleri ortaya konulmadan elde edilmiş</w:t>
      </w:r>
      <w:r w:rsidR="00A22362" w:rsidRPr="00945DAA">
        <w:rPr>
          <w:rFonts w:ascii="Times New Roman" w:hAnsi="Times New Roman" w:cs="Times New Roman"/>
          <w:sz w:val="24"/>
          <w:szCs w:val="24"/>
        </w:rPr>
        <w:t xml:space="preserve"> olup</w:t>
      </w:r>
      <w:r w:rsidRPr="00945DAA">
        <w:rPr>
          <w:rFonts w:ascii="Times New Roman" w:hAnsi="Times New Roman" w:cs="Times New Roman"/>
          <w:sz w:val="24"/>
          <w:szCs w:val="24"/>
        </w:rPr>
        <w:t xml:space="preserve"> bir meslek grubuna mensup olma</w:t>
      </w:r>
      <w:r w:rsidR="00A22362" w:rsidRPr="00945DAA">
        <w:rPr>
          <w:rFonts w:ascii="Times New Roman" w:hAnsi="Times New Roman" w:cs="Times New Roman"/>
          <w:sz w:val="24"/>
          <w:szCs w:val="24"/>
        </w:rPr>
        <w:t>m</w:t>
      </w:r>
      <w:r w:rsidRPr="00945DAA">
        <w:rPr>
          <w:rFonts w:ascii="Times New Roman" w:hAnsi="Times New Roman" w:cs="Times New Roman"/>
          <w:sz w:val="24"/>
          <w:szCs w:val="24"/>
        </w:rPr>
        <w:t xml:space="preserve"> nedeniyle bu tedbire muhatap ol</w:t>
      </w:r>
      <w:r w:rsidR="00A22362" w:rsidRPr="00945DAA">
        <w:rPr>
          <w:rFonts w:ascii="Times New Roman" w:hAnsi="Times New Roman" w:cs="Times New Roman"/>
          <w:sz w:val="24"/>
          <w:szCs w:val="24"/>
        </w:rPr>
        <w:t>dum</w:t>
      </w:r>
      <w:r w:rsidRPr="00945DAA">
        <w:rPr>
          <w:rFonts w:ascii="Times New Roman" w:hAnsi="Times New Roman" w:cs="Times New Roman"/>
          <w:sz w:val="24"/>
          <w:szCs w:val="24"/>
        </w:rPr>
        <w:t xml:space="preserve">. Bu kapsamda tüm TSK mensupları ve emeklilerinin HTS kaydı incelenmiş, kayıtlar üzerinde çeşitli analizler yapıldıktan sonra bu kişilerden sadece bir kısmı şüpheli yapılmıştır. Yani, CMK’daki şartlar oluşmadan temin edilen HTS kayıtları üzerinde yapılan analizlere dayanılarak </w:t>
      </w:r>
      <w:r w:rsidR="00A22362" w:rsidRPr="00945DAA">
        <w:rPr>
          <w:rFonts w:ascii="Times New Roman" w:hAnsi="Times New Roman" w:cs="Times New Roman"/>
          <w:sz w:val="24"/>
          <w:szCs w:val="24"/>
        </w:rPr>
        <w:t>hakkımda</w:t>
      </w:r>
      <w:r w:rsidRPr="00945DAA">
        <w:rPr>
          <w:rFonts w:ascii="Times New Roman" w:hAnsi="Times New Roman" w:cs="Times New Roman"/>
          <w:sz w:val="24"/>
          <w:szCs w:val="24"/>
        </w:rPr>
        <w:t xml:space="preserve"> suç </w:t>
      </w:r>
      <w:r w:rsidRPr="00945DAA">
        <w:rPr>
          <w:rFonts w:ascii="Times New Roman" w:hAnsi="Times New Roman" w:cs="Times New Roman"/>
          <w:sz w:val="24"/>
          <w:szCs w:val="24"/>
        </w:rPr>
        <w:lastRenderedPageBreak/>
        <w:t>isnadında bulunulmuştur. Oysaki CMK’ya göre suç şüphesi en başından, yani tedbir kararı verilmeden ve HTS kayıtları temin edilmeden önce var olmalıdır.</w:t>
      </w:r>
      <w:r w:rsidRPr="00945DAA">
        <w:rPr>
          <w:rFonts w:ascii="Times New Roman" w:hAnsi="Times New Roman" w:cs="Times New Roman"/>
          <w:sz w:val="24"/>
          <w:szCs w:val="24"/>
          <w:vertAlign w:val="superscript"/>
        </w:rPr>
        <w:footnoteReference w:id="3"/>
      </w:r>
    </w:p>
    <w:p w14:paraId="765AE7B5" w14:textId="77777777" w:rsidR="006B1958" w:rsidRPr="00945DAA" w:rsidRDefault="006B1958"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c. Başka Surette Delil Elde Etme İmkânının Olup Olmadığı</w:t>
      </w:r>
    </w:p>
    <w:p w14:paraId="1877F17C" w14:textId="263E70C0" w:rsidR="00E43C9F" w:rsidRPr="00945DAA" w:rsidRDefault="000D6F10"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Ceza Muhakemesi Kanununda Öngörülen Telekomünikasyon Yoluyla Yapılan İletişimin Denetlenmesi, Gizli Soruşturmacı ve Teknik Araçlarla İzleme Tedbirlerinin Uygulanmasına İlişkin Yönetmeliğin 4/1-c</w:t>
      </w:r>
      <w:r w:rsidR="00E43C9F" w:rsidRPr="00945DAA">
        <w:rPr>
          <w:rFonts w:ascii="Times New Roman" w:hAnsi="Times New Roman" w:cs="Times New Roman"/>
          <w:sz w:val="24"/>
          <w:szCs w:val="24"/>
        </w:rPr>
        <w:t xml:space="preserve"> maddesi uyarınca, uygulanacak başka tedbirler vasıtasıyla maddi gerçeğin ortaya çıkarılması için delil elde etme imkânı varsa </w:t>
      </w:r>
      <w:r w:rsidR="006B1958" w:rsidRPr="00945DAA">
        <w:rPr>
          <w:rFonts w:ascii="Times New Roman" w:hAnsi="Times New Roman" w:cs="Times New Roman"/>
          <w:sz w:val="24"/>
          <w:szCs w:val="24"/>
        </w:rPr>
        <w:t>iletişimin tespiti</w:t>
      </w:r>
      <w:r w:rsidR="00E43C9F" w:rsidRPr="00945DAA">
        <w:rPr>
          <w:rFonts w:ascii="Times New Roman" w:hAnsi="Times New Roman" w:cs="Times New Roman"/>
          <w:sz w:val="24"/>
          <w:szCs w:val="24"/>
        </w:rPr>
        <w:t xml:space="preserve"> şartın</w:t>
      </w:r>
      <w:r w:rsidR="006B1958" w:rsidRPr="00945DAA">
        <w:rPr>
          <w:rFonts w:ascii="Times New Roman" w:hAnsi="Times New Roman" w:cs="Times New Roman"/>
          <w:sz w:val="24"/>
          <w:szCs w:val="24"/>
        </w:rPr>
        <w:t>ın</w:t>
      </w:r>
      <w:r w:rsidR="00E43C9F" w:rsidRPr="00945DAA">
        <w:rPr>
          <w:rFonts w:ascii="Times New Roman" w:hAnsi="Times New Roman" w:cs="Times New Roman"/>
          <w:sz w:val="24"/>
          <w:szCs w:val="24"/>
        </w:rPr>
        <w:t xml:space="preserve"> gerçekleştiğinden söz edilemez. </w:t>
      </w:r>
      <w:r w:rsidR="0072676A" w:rsidRPr="00945DAA">
        <w:rPr>
          <w:rFonts w:ascii="Times New Roman" w:hAnsi="Times New Roman" w:cs="Times New Roman"/>
          <w:sz w:val="24"/>
          <w:szCs w:val="24"/>
        </w:rPr>
        <w:t>Yani</w:t>
      </w:r>
      <w:r w:rsidR="00E43C9F" w:rsidRPr="00945DAA">
        <w:rPr>
          <w:rFonts w:ascii="Times New Roman" w:hAnsi="Times New Roman" w:cs="Times New Roman"/>
          <w:sz w:val="24"/>
          <w:szCs w:val="24"/>
        </w:rPr>
        <w:t xml:space="preserve">, iletişim tespiti tedbirine delil elde etme açısından </w:t>
      </w:r>
      <w:r w:rsidR="00E43C9F" w:rsidRPr="00945DAA">
        <w:rPr>
          <w:rFonts w:ascii="Times New Roman" w:hAnsi="Times New Roman" w:cs="Times New Roman"/>
          <w:i/>
          <w:sz w:val="24"/>
          <w:szCs w:val="24"/>
        </w:rPr>
        <w:t>"en son çare"</w:t>
      </w:r>
      <w:r w:rsidR="00E43C9F" w:rsidRPr="00945DAA">
        <w:rPr>
          <w:rFonts w:ascii="Times New Roman" w:hAnsi="Times New Roman" w:cs="Times New Roman"/>
          <w:sz w:val="24"/>
          <w:szCs w:val="24"/>
        </w:rPr>
        <w:t xml:space="preserve"> olarak başvurulmalıdır.</w:t>
      </w:r>
      <w:r w:rsidR="006B1958" w:rsidRPr="00945DAA">
        <w:rPr>
          <w:rFonts w:ascii="Times New Roman" w:hAnsi="Times New Roman" w:cs="Times New Roman"/>
          <w:sz w:val="24"/>
          <w:szCs w:val="24"/>
        </w:rPr>
        <w:t xml:space="preserve"> </w:t>
      </w:r>
    </w:p>
    <w:p w14:paraId="4C77D6B9" w14:textId="77777777" w:rsidR="006B1958" w:rsidRPr="00945DAA" w:rsidRDefault="006B1958" w:rsidP="006E5730">
      <w:pPr>
        <w:tabs>
          <w:tab w:val="left" w:pos="567"/>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Yargıtay da konuyla ilgili bir kararında; iletişimin denetlenmesine karar verilmeden önce başka suretle delil elde edilemeyeceğine ilişkin soyut ifadeler dışında gerekçeye yer verilmeksizin ve bu hususta her bir sanık açısından bireyselleştirilmiş değerlendirme yapılmaksızın iletişimin tespitine karar verilemeyeceğini belirtmiştir.</w:t>
      </w:r>
      <w:r w:rsidRPr="00945DAA">
        <w:rPr>
          <w:rFonts w:ascii="Times New Roman" w:hAnsi="Times New Roman" w:cs="Times New Roman"/>
          <w:sz w:val="24"/>
          <w:szCs w:val="24"/>
          <w:vertAlign w:val="superscript"/>
        </w:rPr>
        <w:footnoteReference w:id="4"/>
      </w:r>
    </w:p>
    <w:p w14:paraId="2C754549" w14:textId="44783224" w:rsidR="006B1958" w:rsidRPr="00945DAA" w:rsidRDefault="006B1958"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Ancak, ankesörlü telefon aramalarına ilişkin soruşturma ve kovuşturmalarda bu kurala da riayet edilmemiş; diğer koruma tedbirlerinden hiçbiri değerlendirilmeden, doğrudan doğruya son çare delili olarak başvurulması gereken iletişimin tespiti tedbiri uygulanmıştır. </w:t>
      </w:r>
    </w:p>
    <w:p w14:paraId="29EFBF56" w14:textId="77777777" w:rsidR="00690986" w:rsidRPr="00945DAA" w:rsidRDefault="009B608D" w:rsidP="006E5730">
      <w:pPr>
        <w:keepNext/>
        <w:tabs>
          <w:tab w:val="left" w:pos="567"/>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d</w:t>
      </w:r>
      <w:r w:rsidR="00690986" w:rsidRPr="00945DAA">
        <w:rPr>
          <w:rFonts w:ascii="Times New Roman" w:hAnsi="Times New Roman" w:cs="Times New Roman"/>
          <w:b/>
          <w:i/>
          <w:sz w:val="24"/>
          <w:szCs w:val="24"/>
        </w:rPr>
        <w:t xml:space="preserve">. </w:t>
      </w:r>
      <w:r w:rsidR="00690986" w:rsidRPr="00945DAA">
        <w:rPr>
          <w:rFonts w:ascii="Times New Roman" w:eastAsia="Times New Roman" w:hAnsi="Times New Roman" w:cs="Times New Roman"/>
          <w:b/>
          <w:bCs/>
          <w:i/>
          <w:sz w:val="24"/>
          <w:szCs w:val="24"/>
          <w:lang w:eastAsia="tr-TR"/>
        </w:rPr>
        <w:t xml:space="preserve">Yasal Saklama Süresi Geçmiş </w:t>
      </w:r>
      <w:r w:rsidR="000D0443" w:rsidRPr="00945DAA">
        <w:rPr>
          <w:rFonts w:ascii="Times New Roman" w:eastAsia="Times New Roman" w:hAnsi="Times New Roman" w:cs="Times New Roman"/>
          <w:b/>
          <w:bCs/>
          <w:i/>
          <w:sz w:val="24"/>
          <w:szCs w:val="24"/>
          <w:lang w:eastAsia="tr-TR"/>
        </w:rPr>
        <w:t>Haberleşme</w:t>
      </w:r>
      <w:r w:rsidR="00690986" w:rsidRPr="00945DAA">
        <w:rPr>
          <w:rFonts w:ascii="Times New Roman" w:eastAsia="Times New Roman" w:hAnsi="Times New Roman" w:cs="Times New Roman"/>
          <w:b/>
          <w:bCs/>
          <w:i/>
          <w:sz w:val="24"/>
          <w:szCs w:val="24"/>
          <w:lang w:eastAsia="tr-TR"/>
        </w:rPr>
        <w:t xml:space="preserve"> Bilgilerinin İmha Edilmemesi</w:t>
      </w:r>
    </w:p>
    <w:p w14:paraId="6D8C1A76" w14:textId="5228785A" w:rsidR="000D0443" w:rsidRPr="00945DAA" w:rsidRDefault="00690986" w:rsidP="006E5730">
      <w:pPr>
        <w:tabs>
          <w:tab w:val="left" w:pos="284"/>
          <w:tab w:val="left" w:pos="567"/>
          <w:tab w:val="left" w:pos="851"/>
          <w:tab w:val="left" w:pos="1134"/>
          <w:tab w:val="left" w:pos="1418"/>
        </w:tabs>
        <w:spacing w:after="0" w:line="240" w:lineRule="auto"/>
        <w:jc w:val="both"/>
        <w:rPr>
          <w:rFonts w:ascii="Times New Roman" w:hAnsi="Times New Roman" w:cs="Times New Roman"/>
          <w:iCs/>
          <w:sz w:val="24"/>
          <w:szCs w:val="24"/>
        </w:rPr>
      </w:pPr>
      <w:r w:rsidRPr="00945DAA">
        <w:rPr>
          <w:rFonts w:ascii="Times New Roman" w:hAnsi="Times New Roman" w:cs="Times New Roman"/>
          <w:iCs/>
          <w:sz w:val="24"/>
          <w:szCs w:val="24"/>
        </w:rPr>
        <w:t>CMK’nın 135/6 maddesinde HTS kayıtlarının istenmesine</w:t>
      </w:r>
      <w:r w:rsidR="00804C1A" w:rsidRPr="00945DAA">
        <w:rPr>
          <w:rFonts w:ascii="Times New Roman" w:hAnsi="Times New Roman" w:cs="Times New Roman"/>
          <w:iCs/>
          <w:sz w:val="24"/>
          <w:szCs w:val="24"/>
        </w:rPr>
        <w:t xml:space="preserve"> ve imhasına</w:t>
      </w:r>
      <w:r w:rsidRPr="00945DAA">
        <w:rPr>
          <w:rFonts w:ascii="Times New Roman" w:hAnsi="Times New Roman" w:cs="Times New Roman"/>
          <w:iCs/>
          <w:sz w:val="24"/>
          <w:szCs w:val="24"/>
        </w:rPr>
        <w:t xml:space="preserve"> ilişkin bir süre öngörülmese de özel kanun niteliğindeki </w:t>
      </w:r>
      <w:r w:rsidR="000D0443" w:rsidRPr="00945DAA">
        <w:rPr>
          <w:rFonts w:ascii="Times New Roman" w:hAnsi="Times New Roman" w:cs="Times New Roman"/>
          <w:color w:val="222222"/>
          <w:sz w:val="24"/>
          <w:szCs w:val="24"/>
          <w:shd w:val="clear" w:color="auto" w:fill="FFFFFF"/>
        </w:rPr>
        <w:t>5809 sayılı Elektronik Haberleşme Kanunu’nun 51/10. maddesinde; kişisel veri niteliğindeki</w:t>
      </w:r>
      <w:r w:rsidR="000D0443" w:rsidRPr="00945DAA">
        <w:rPr>
          <w:rFonts w:ascii="Times New Roman" w:hAnsi="Times New Roman" w:cs="Times New Roman"/>
          <w:b/>
          <w:color w:val="222222"/>
          <w:sz w:val="24"/>
          <w:szCs w:val="24"/>
          <w:shd w:val="clear" w:color="auto" w:fill="FFFFFF"/>
        </w:rPr>
        <w:t xml:space="preserve"> </w:t>
      </w:r>
      <w:r w:rsidR="000D0443" w:rsidRPr="00945DAA">
        <w:rPr>
          <w:rFonts w:ascii="Times New Roman" w:hAnsi="Times New Roman" w:cs="Times New Roman"/>
          <w:sz w:val="24"/>
          <w:szCs w:val="24"/>
        </w:rPr>
        <w:t xml:space="preserve">haberleşme kayıtlarının, haberleşmenin yapıldığı tarihten itibaren bir yıldan az ve iki yıldan fazla olmamak üzere saklanacağı ve saklanma sürelerinin yönetmelikle belirleneceği belirtilmiştir. Bu Kanuna dayanılarak çıkarılan Elektronik Haberleşme Sektöründe Kişisel Verilerin İşlenmesi ve Gizliliğinin Korunması Hakkında Yönetmeliğin </w:t>
      </w:r>
      <w:r w:rsidR="00964146" w:rsidRPr="00945DAA">
        <w:rPr>
          <w:rFonts w:ascii="Times New Roman" w:hAnsi="Times New Roman" w:cs="Times New Roman"/>
          <w:sz w:val="24"/>
          <w:szCs w:val="24"/>
        </w:rPr>
        <w:t xml:space="preserve">14/1 ve Elektronik Haberleşme Sektörüne İlişkin Yetkilendirme Yönetmeliği’nin 19/1-f maddeleri uyarınca da </w:t>
      </w:r>
      <w:r w:rsidR="000D0443" w:rsidRPr="00945DAA">
        <w:rPr>
          <w:rFonts w:ascii="Times New Roman" w:hAnsi="Times New Roman" w:cs="Times New Roman"/>
          <w:sz w:val="24"/>
          <w:szCs w:val="24"/>
        </w:rPr>
        <w:t xml:space="preserve">GSM şirketleri bu bilgileri en fazla bir yıl, gerçekleşmeyen (0 saniye) aramalara ilişkin kayıtları ise üç ay süreyle saklayabilir. </w:t>
      </w:r>
      <w:r w:rsidR="000D0443" w:rsidRPr="00945DAA">
        <w:rPr>
          <w:rFonts w:ascii="Times New Roman" w:hAnsi="Times New Roman" w:cs="Times New Roman"/>
          <w:iCs/>
          <w:sz w:val="24"/>
          <w:szCs w:val="24"/>
        </w:rPr>
        <w:t xml:space="preserve">Bu sürelerden daha fazla bu bilgilerin saklanması özel hayatın gizliliğinin ihlaline neden olur ve bu </w:t>
      </w:r>
      <w:r w:rsidR="000D6F10" w:rsidRPr="00945DAA">
        <w:rPr>
          <w:rFonts w:ascii="Times New Roman" w:hAnsi="Times New Roman" w:cs="Times New Roman"/>
          <w:iCs/>
          <w:sz w:val="24"/>
          <w:szCs w:val="24"/>
        </w:rPr>
        <w:t xml:space="preserve">verileri </w:t>
      </w:r>
      <w:r w:rsidR="000D0443" w:rsidRPr="00945DAA">
        <w:rPr>
          <w:rFonts w:ascii="Times New Roman" w:hAnsi="Times New Roman" w:cs="Times New Roman"/>
          <w:iCs/>
          <w:sz w:val="24"/>
          <w:szCs w:val="24"/>
        </w:rPr>
        <w:t>hukuka aykırı hale getirir.</w:t>
      </w:r>
      <w:r w:rsidR="000D0443" w:rsidRPr="00945DAA">
        <w:rPr>
          <w:rStyle w:val="DipnotBavurusu"/>
          <w:rFonts w:ascii="Times New Roman" w:hAnsi="Times New Roman"/>
          <w:iCs/>
          <w:sz w:val="24"/>
          <w:szCs w:val="24"/>
        </w:rPr>
        <w:footnoteReference w:id="5"/>
      </w:r>
      <w:r w:rsidR="000D0443" w:rsidRPr="00945DAA">
        <w:rPr>
          <w:rFonts w:ascii="Times New Roman" w:hAnsi="Times New Roman" w:cs="Times New Roman"/>
          <w:iCs/>
          <w:sz w:val="24"/>
          <w:szCs w:val="24"/>
        </w:rPr>
        <w:t xml:space="preserve"> </w:t>
      </w:r>
    </w:p>
    <w:p w14:paraId="68F0A4AC" w14:textId="623B1E05" w:rsidR="000D0443" w:rsidRPr="00945DAA" w:rsidRDefault="00C92D1E" w:rsidP="006E5730">
      <w:pPr>
        <w:pStyle w:val="NormalWeb"/>
        <w:shd w:val="clear" w:color="auto" w:fill="FFFFFF"/>
        <w:spacing w:before="0" w:beforeAutospacing="0" w:after="0" w:afterAutospacing="0"/>
        <w:jc w:val="both"/>
      </w:pPr>
      <w:r w:rsidRPr="00945DAA">
        <w:t xml:space="preserve">Mevzuattaki bu açık hükümlere rağmen; </w:t>
      </w:r>
      <w:r w:rsidR="008101F7" w:rsidRPr="00945DAA">
        <w:t xml:space="preserve">5809 sayılı Yasada BTK’ya verilmiş bir yetki olmamasına rağmen, BTK’nın kişisel veri niteliğinde olan ve </w:t>
      </w:r>
      <w:r w:rsidRPr="00945DAA">
        <w:t>yasal süresi geç</w:t>
      </w:r>
      <w:r w:rsidR="008101F7" w:rsidRPr="00945DAA">
        <w:t>miş internet trafik kayıtlarını fiilen sakla</w:t>
      </w:r>
      <w:r w:rsidRPr="00945DAA">
        <w:t xml:space="preserve">dığı anlaşılmaktadır. </w:t>
      </w:r>
      <w:r w:rsidR="009B3D18">
        <w:t>H</w:t>
      </w:r>
      <w:r w:rsidRPr="00945DAA">
        <w:t>ukuka aykırı bu bilgiler yargılamalara esas alınmakta ve dosyalara konulmak suretiyle alenileştirilmektedir. Başka bir ifadeyle, bahse konu bilgiler ulusal hukuka aykırı şekilde saklanmış ve kullanılmıştır. </w:t>
      </w:r>
      <w:r w:rsidRPr="00945DAA">
        <w:rPr>
          <w:bCs/>
        </w:rPr>
        <w:t>İlgili hükümlere fiilen uyulmaması nedeniyle de mevzuatta yer alan teorik güvenceler işlevsiz hale gelmiştir.</w:t>
      </w:r>
    </w:p>
    <w:p w14:paraId="72EA440E" w14:textId="77777777" w:rsidR="00C0327D" w:rsidRPr="00945DAA" w:rsidRDefault="00C0327D"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d) Sonuç</w:t>
      </w:r>
    </w:p>
    <w:p w14:paraId="2041CAAB" w14:textId="10FB83DB" w:rsidR="00C0327D" w:rsidRPr="00945DAA" w:rsidRDefault="00A70D99"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CMK’nın 206/2-a maddesinde, kanuna aykırı elde edilen delilin </w:t>
      </w:r>
      <w:r w:rsidR="00F35F39" w:rsidRPr="00945DAA">
        <w:rPr>
          <w:rFonts w:ascii="Times New Roman" w:hAnsi="Times New Roman" w:cs="Times New Roman"/>
          <w:sz w:val="24"/>
          <w:szCs w:val="24"/>
        </w:rPr>
        <w:t>yar</w:t>
      </w:r>
      <w:r w:rsidR="00663DD5" w:rsidRPr="00945DAA">
        <w:rPr>
          <w:rFonts w:ascii="Times New Roman" w:hAnsi="Times New Roman" w:cs="Times New Roman"/>
          <w:sz w:val="24"/>
          <w:szCs w:val="24"/>
        </w:rPr>
        <w:t xml:space="preserve">gılamalarda </w:t>
      </w:r>
      <w:r w:rsidRPr="00945DAA">
        <w:rPr>
          <w:rFonts w:ascii="Times New Roman" w:hAnsi="Times New Roman" w:cs="Times New Roman"/>
          <w:sz w:val="24"/>
          <w:szCs w:val="24"/>
        </w:rPr>
        <w:t>kullanılamayacağının ve CMK’nın 217/2. maddesinde de yüklenen suçun hukuka uygun delillerle ispatlanabileceğinin belirtilmesi karşısında</w:t>
      </w:r>
      <w:r w:rsidR="00663DD5" w:rsidRPr="00945DAA">
        <w:rPr>
          <w:rFonts w:ascii="Times New Roman" w:hAnsi="Times New Roman" w:cs="Times New Roman"/>
          <w:sz w:val="24"/>
          <w:szCs w:val="24"/>
        </w:rPr>
        <w:t>;</w:t>
      </w:r>
      <w:r w:rsidRPr="00945DAA">
        <w:rPr>
          <w:rFonts w:ascii="Times New Roman" w:hAnsi="Times New Roman" w:cs="Times New Roman"/>
          <w:sz w:val="24"/>
          <w:szCs w:val="24"/>
        </w:rPr>
        <w:t xml:space="preserve"> iletişim tespit tutanaklarının delil olarak kabulü, CMK’nın 135. maddesine uygun olarak elde edilmelerine bağlıdır.</w:t>
      </w:r>
    </w:p>
    <w:p w14:paraId="1708C615" w14:textId="1BFE1A77" w:rsidR="00E07781" w:rsidRPr="00E1705B" w:rsidRDefault="00A70D99"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Haberleşme hürriyeti anayasal bir hak olduğundan ve</w:t>
      </w:r>
      <w:r w:rsidR="00E07781" w:rsidRPr="00945DAA">
        <w:rPr>
          <w:rFonts w:ascii="Times New Roman" w:hAnsi="Times New Roman" w:cs="Times New Roman"/>
          <w:sz w:val="24"/>
          <w:szCs w:val="24"/>
        </w:rPr>
        <w:t xml:space="preserve"> bu hakkın ihlali</w:t>
      </w:r>
      <w:r w:rsidRPr="00945DAA">
        <w:rPr>
          <w:rFonts w:ascii="Times New Roman" w:hAnsi="Times New Roman" w:cs="Times New Roman"/>
          <w:sz w:val="24"/>
          <w:szCs w:val="24"/>
        </w:rPr>
        <w:t xml:space="preserve"> önemsiz kabul edilemeyeceğinden, hukuka aykırı yöntemlerle elde edilen </w:t>
      </w:r>
      <w:r w:rsidR="009B608D" w:rsidRPr="00945DAA">
        <w:rPr>
          <w:rFonts w:ascii="Times New Roman" w:hAnsi="Times New Roman" w:cs="Times New Roman"/>
          <w:sz w:val="24"/>
          <w:szCs w:val="24"/>
        </w:rPr>
        <w:t>ve Yönetmelik</w:t>
      </w:r>
      <w:r w:rsidR="00663DD5" w:rsidRPr="00945DAA">
        <w:rPr>
          <w:rFonts w:ascii="Times New Roman" w:hAnsi="Times New Roman" w:cs="Times New Roman"/>
          <w:sz w:val="24"/>
          <w:szCs w:val="24"/>
        </w:rPr>
        <w:t>’</w:t>
      </w:r>
      <w:r w:rsidR="009B608D" w:rsidRPr="00945DAA">
        <w:rPr>
          <w:rFonts w:ascii="Times New Roman" w:hAnsi="Times New Roman" w:cs="Times New Roman"/>
          <w:sz w:val="24"/>
          <w:szCs w:val="24"/>
        </w:rPr>
        <w:t xml:space="preserve">te belirlenen sürede imha edilmeyen </w:t>
      </w:r>
      <w:r w:rsidR="00E07781" w:rsidRPr="00945DAA">
        <w:rPr>
          <w:rFonts w:ascii="Times New Roman" w:hAnsi="Times New Roman" w:cs="Times New Roman"/>
          <w:sz w:val="24"/>
          <w:szCs w:val="24"/>
        </w:rPr>
        <w:t xml:space="preserve">iletişimin tespiti </w:t>
      </w:r>
      <w:r w:rsidR="009B608D" w:rsidRPr="00945DAA">
        <w:rPr>
          <w:rFonts w:ascii="Times New Roman" w:hAnsi="Times New Roman" w:cs="Times New Roman"/>
          <w:sz w:val="24"/>
          <w:szCs w:val="24"/>
        </w:rPr>
        <w:t>kayıtları</w:t>
      </w:r>
      <w:r w:rsidR="00F80383">
        <w:rPr>
          <w:rFonts w:ascii="Times New Roman" w:hAnsi="Times New Roman" w:cs="Times New Roman"/>
          <w:sz w:val="24"/>
          <w:szCs w:val="24"/>
        </w:rPr>
        <w:t xml:space="preserve"> </w:t>
      </w:r>
      <w:r w:rsidR="00E07781" w:rsidRPr="00945DAA">
        <w:rPr>
          <w:rFonts w:ascii="Times New Roman" w:hAnsi="Times New Roman" w:cs="Times New Roman"/>
          <w:sz w:val="24"/>
          <w:szCs w:val="24"/>
        </w:rPr>
        <w:t>hükme esas alınamaz</w:t>
      </w:r>
      <w:r w:rsidRPr="00945DAA">
        <w:rPr>
          <w:rFonts w:ascii="Times New Roman" w:hAnsi="Times New Roman" w:cs="Times New Roman"/>
          <w:sz w:val="24"/>
          <w:szCs w:val="24"/>
        </w:rPr>
        <w:t>.</w:t>
      </w:r>
      <w:r w:rsidRPr="00945DAA">
        <w:rPr>
          <w:rFonts w:ascii="Times New Roman" w:hAnsi="Times New Roman" w:cs="Times New Roman"/>
          <w:sz w:val="24"/>
          <w:szCs w:val="24"/>
          <w:vertAlign w:val="superscript"/>
        </w:rPr>
        <w:footnoteReference w:id="6"/>
      </w:r>
      <w:r w:rsidR="009B608D" w:rsidRPr="00945DAA">
        <w:rPr>
          <w:rFonts w:ascii="Times New Roman" w:hAnsi="Times New Roman" w:cs="Times New Roman"/>
          <w:sz w:val="24"/>
          <w:szCs w:val="24"/>
        </w:rPr>
        <w:t xml:space="preserve"> </w:t>
      </w:r>
      <w:r w:rsidR="00E07781" w:rsidRPr="00945DAA">
        <w:rPr>
          <w:rFonts w:ascii="Times New Roman" w:hAnsi="Times New Roman" w:cs="Times New Roman"/>
          <w:sz w:val="24"/>
          <w:szCs w:val="24"/>
        </w:rPr>
        <w:t>Bu itibarla hem sabit hatta ilişkin arama kayıtları hem de HTS kayıtları</w:t>
      </w:r>
      <w:r w:rsidR="00B26E52" w:rsidRPr="00945DAA">
        <w:rPr>
          <w:rFonts w:ascii="Times New Roman" w:hAnsi="Times New Roman" w:cs="Times New Roman"/>
          <w:sz w:val="24"/>
          <w:szCs w:val="24"/>
        </w:rPr>
        <w:t>m</w:t>
      </w:r>
      <w:r w:rsidR="00E07781" w:rsidRPr="00945DAA">
        <w:rPr>
          <w:rFonts w:ascii="Times New Roman" w:hAnsi="Times New Roman" w:cs="Times New Roman"/>
          <w:sz w:val="24"/>
          <w:szCs w:val="24"/>
        </w:rPr>
        <w:t xml:space="preserve"> hukuka uygun elde edilmemiştir.</w:t>
      </w:r>
    </w:p>
    <w:p w14:paraId="4241B8B1" w14:textId="7CC7696E" w:rsidR="00BA7614" w:rsidRPr="00E1705B" w:rsidRDefault="00BA7614"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B07167">
        <w:rPr>
          <w:rFonts w:ascii="Times New Roman" w:hAnsi="Times New Roman" w:cs="Times New Roman"/>
          <w:sz w:val="24"/>
          <w:szCs w:val="24"/>
        </w:rPr>
        <w:t>Ayrıca, suçun unsurlarının varlığı araştırılmadan ve ankesörden aranmış olmak suçun unsuru gibi kabul edilerek yapılan otomatik cezalandırmalar açıkça suç ve cezaların yasallığı ilkesine aykırıdır.</w:t>
      </w:r>
    </w:p>
    <w:p w14:paraId="46A3E3CD" w14:textId="77777777" w:rsidR="0067087B" w:rsidRPr="00945DAA" w:rsidRDefault="005C38C7"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jc w:val="both"/>
        <w:outlineLvl w:val="0"/>
        <w:rPr>
          <w:rFonts w:ascii="Times New Roman" w:eastAsia="Times New Roman" w:hAnsi="Times New Roman" w:cs="Times New Roman"/>
          <w:b/>
          <w:bCs/>
          <w:sz w:val="24"/>
          <w:szCs w:val="24"/>
          <w:lang w:eastAsia="tr-TR"/>
        </w:rPr>
      </w:pPr>
      <w:r w:rsidRPr="00945DAA">
        <w:rPr>
          <w:rFonts w:ascii="Times New Roman" w:eastAsia="Times New Roman" w:hAnsi="Times New Roman" w:cs="Times New Roman"/>
          <w:b/>
          <w:bCs/>
          <w:sz w:val="24"/>
          <w:szCs w:val="24"/>
          <w:lang w:eastAsia="tr-TR"/>
        </w:rPr>
        <w:lastRenderedPageBreak/>
        <w:t>2</w:t>
      </w:r>
      <w:r w:rsidR="0067087B" w:rsidRPr="00945DAA">
        <w:rPr>
          <w:rFonts w:ascii="Times New Roman" w:eastAsia="Times New Roman" w:hAnsi="Times New Roman" w:cs="Times New Roman"/>
          <w:b/>
          <w:bCs/>
          <w:sz w:val="24"/>
          <w:szCs w:val="24"/>
          <w:lang w:eastAsia="tr-TR"/>
        </w:rPr>
        <w:t>) Bylock Bilgilerinin Yargılamada Kullanılması</w:t>
      </w:r>
    </w:p>
    <w:p w14:paraId="186716F4" w14:textId="77777777" w:rsidR="0067087B" w:rsidRPr="00945DAA" w:rsidRDefault="0067087B"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Arial" w:hAnsi="Times New Roman" w:cs="Times New Roman"/>
          <w:sz w:val="24"/>
          <w:szCs w:val="24"/>
        </w:rPr>
      </w:pPr>
      <w:r w:rsidRPr="00945DAA">
        <w:rPr>
          <w:rFonts w:ascii="Times New Roman" w:eastAsia="Arial" w:hAnsi="Times New Roman" w:cs="Times New Roman"/>
          <w:sz w:val="24"/>
          <w:szCs w:val="24"/>
        </w:rPr>
        <w:t>Yargıtay 16. Ceza Dairesi</w:t>
      </w:r>
      <w:r w:rsidRPr="00945DAA">
        <w:rPr>
          <w:rStyle w:val="DipnotBavurusu"/>
          <w:rFonts w:ascii="Times New Roman" w:eastAsia="Arial" w:hAnsi="Times New Roman"/>
          <w:sz w:val="24"/>
          <w:szCs w:val="24"/>
        </w:rPr>
        <w:footnoteReference w:id="7"/>
      </w:r>
      <w:r w:rsidRPr="00945DAA">
        <w:rPr>
          <w:rFonts w:ascii="Times New Roman" w:eastAsia="Arial" w:hAnsi="Times New Roman" w:cs="Times New Roman"/>
          <w:sz w:val="24"/>
          <w:szCs w:val="24"/>
        </w:rPr>
        <w:t xml:space="preserve"> ve Yargıtay Ceza Genel Kurulu</w:t>
      </w:r>
      <w:r w:rsidRPr="00945DAA">
        <w:rPr>
          <w:rStyle w:val="DipnotBavurusu"/>
          <w:rFonts w:ascii="Times New Roman" w:eastAsia="Arial" w:hAnsi="Times New Roman"/>
          <w:sz w:val="24"/>
          <w:szCs w:val="24"/>
        </w:rPr>
        <w:footnoteReference w:id="8"/>
      </w:r>
      <w:r w:rsidRPr="00945DAA">
        <w:rPr>
          <w:rFonts w:ascii="Times New Roman" w:eastAsia="Arial" w:hAnsi="Times New Roman" w:cs="Times New Roman"/>
          <w:sz w:val="24"/>
          <w:szCs w:val="24"/>
        </w:rPr>
        <w:t xml:space="preserve"> Bylock’un CMK’nın 134. maddesine uygun olarak elde edildiğini kabul etmişler ve bu kabulden sonra yerel mahkemeler konuyla ilgili hiçbir araştırma yapmadan ve bu kararlara atıf yapmak suretiyle mahkûmiyet kararları vermişlerdir.</w:t>
      </w:r>
      <w:r w:rsidR="0072676A" w:rsidRPr="00945DAA">
        <w:rPr>
          <w:rFonts w:ascii="Times New Roman" w:eastAsia="Arial" w:hAnsi="Times New Roman" w:cs="Times New Roman"/>
          <w:sz w:val="24"/>
          <w:szCs w:val="24"/>
        </w:rPr>
        <w:t xml:space="preserve"> </w:t>
      </w:r>
      <w:r w:rsidRPr="00945DAA">
        <w:rPr>
          <w:rFonts w:ascii="Times New Roman" w:eastAsia="Arial" w:hAnsi="Times New Roman" w:cs="Times New Roman"/>
          <w:sz w:val="24"/>
          <w:szCs w:val="24"/>
        </w:rPr>
        <w:t>Bununla birlikte bu kabuller</w:t>
      </w:r>
      <w:r w:rsidR="00663DD5" w:rsidRPr="00945DAA">
        <w:rPr>
          <w:rFonts w:ascii="Times New Roman" w:eastAsia="Arial" w:hAnsi="Times New Roman" w:cs="Times New Roman"/>
          <w:sz w:val="24"/>
          <w:szCs w:val="24"/>
        </w:rPr>
        <w:t>,</w:t>
      </w:r>
      <w:r w:rsidRPr="00945DAA">
        <w:rPr>
          <w:rFonts w:ascii="Times New Roman" w:eastAsia="Arial" w:hAnsi="Times New Roman" w:cs="Times New Roman"/>
          <w:sz w:val="24"/>
          <w:szCs w:val="24"/>
        </w:rPr>
        <w:t xml:space="preserve"> mevzuata ve Yargıtay</w:t>
      </w:r>
      <w:r w:rsidR="00184816" w:rsidRPr="00945DAA">
        <w:rPr>
          <w:rFonts w:ascii="Times New Roman" w:eastAsia="Arial" w:hAnsi="Times New Roman" w:cs="Times New Roman"/>
          <w:sz w:val="24"/>
          <w:szCs w:val="24"/>
        </w:rPr>
        <w:t>’</w:t>
      </w:r>
      <w:r w:rsidRPr="00945DAA">
        <w:rPr>
          <w:rFonts w:ascii="Times New Roman" w:eastAsia="Arial" w:hAnsi="Times New Roman" w:cs="Times New Roman"/>
          <w:sz w:val="24"/>
          <w:szCs w:val="24"/>
        </w:rPr>
        <w:t>ın yerleşik içtihatları</w:t>
      </w:r>
      <w:r w:rsidR="00663DD5" w:rsidRPr="00945DAA">
        <w:rPr>
          <w:rFonts w:ascii="Times New Roman" w:eastAsia="Arial" w:hAnsi="Times New Roman" w:cs="Times New Roman"/>
          <w:sz w:val="24"/>
          <w:szCs w:val="24"/>
        </w:rPr>
        <w:t>yla çelişmektedir</w:t>
      </w:r>
      <w:r w:rsidRPr="00945DAA">
        <w:rPr>
          <w:rFonts w:ascii="Times New Roman" w:eastAsia="Arial" w:hAnsi="Times New Roman" w:cs="Times New Roman"/>
          <w:sz w:val="24"/>
          <w:szCs w:val="24"/>
        </w:rPr>
        <w:t>.</w:t>
      </w:r>
    </w:p>
    <w:p w14:paraId="45E83C32" w14:textId="77777777" w:rsidR="0067087B" w:rsidRPr="00945DAA" w:rsidRDefault="0067087B"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 xml:space="preserve">a. Sunucu Elde Edildiği Sırada Bylock İle İlgili Bir Soruşturma Var Mıdır? </w:t>
      </w:r>
    </w:p>
    <w:p w14:paraId="795A34C9" w14:textId="77777777" w:rsidR="0076685A" w:rsidRPr="00945DAA" w:rsidRDefault="0067087B" w:rsidP="006E5730">
      <w:pPr>
        <w:autoSpaceDE w:val="0"/>
        <w:autoSpaceDN w:val="0"/>
        <w:adjustRightInd w:val="0"/>
        <w:spacing w:after="0" w:line="240" w:lineRule="auto"/>
        <w:jc w:val="both"/>
        <w:textAlignment w:val="center"/>
        <w:rPr>
          <w:rFonts w:ascii="Times New Roman" w:hAnsi="Times New Roman" w:cs="Times New Roman"/>
          <w:sz w:val="24"/>
          <w:szCs w:val="24"/>
        </w:rPr>
      </w:pPr>
      <w:r w:rsidRPr="00945DAA">
        <w:rPr>
          <w:rFonts w:ascii="Times New Roman" w:hAnsi="Times New Roman" w:cs="Times New Roman"/>
          <w:sz w:val="24"/>
          <w:szCs w:val="24"/>
        </w:rPr>
        <w:t>Bilgisayar,</w:t>
      </w:r>
      <w:r w:rsidR="00663DD5" w:rsidRPr="00945DAA">
        <w:rPr>
          <w:rFonts w:ascii="Times New Roman" w:hAnsi="Times New Roman" w:cs="Times New Roman"/>
          <w:sz w:val="24"/>
          <w:szCs w:val="24"/>
        </w:rPr>
        <w:t xml:space="preserve"> bilgisayar</w:t>
      </w:r>
      <w:r w:rsidRPr="00945DAA">
        <w:rPr>
          <w:rFonts w:ascii="Times New Roman" w:hAnsi="Times New Roman" w:cs="Times New Roman"/>
          <w:sz w:val="24"/>
          <w:szCs w:val="24"/>
        </w:rPr>
        <w:t xml:space="preserve"> programları ve kütükleri üzerinde CMK’nın 134. maddesinde yer verilen tedbirlere başvurulabilmesi için öncelikle usulüne uygun başlatılmış bir adli soruştu</w:t>
      </w:r>
      <w:r w:rsidR="0076685A" w:rsidRPr="00945DAA">
        <w:rPr>
          <w:rFonts w:ascii="Times New Roman" w:hAnsi="Times New Roman" w:cs="Times New Roman"/>
          <w:sz w:val="24"/>
          <w:szCs w:val="24"/>
        </w:rPr>
        <w:t>rma bulunmalıdır.</w:t>
      </w:r>
    </w:p>
    <w:p w14:paraId="14A7EF12" w14:textId="77777777" w:rsidR="00782EE5" w:rsidRPr="00945DAA" w:rsidRDefault="0067087B" w:rsidP="006E5730">
      <w:pPr>
        <w:autoSpaceDE w:val="0"/>
        <w:autoSpaceDN w:val="0"/>
        <w:adjustRightInd w:val="0"/>
        <w:spacing w:after="0" w:line="240" w:lineRule="auto"/>
        <w:jc w:val="both"/>
        <w:textAlignment w:val="center"/>
        <w:rPr>
          <w:rFonts w:ascii="Times New Roman" w:hAnsi="Times New Roman" w:cs="Times New Roman"/>
          <w:sz w:val="24"/>
          <w:szCs w:val="24"/>
        </w:rPr>
      </w:pPr>
      <w:r w:rsidRPr="00945DAA">
        <w:rPr>
          <w:rFonts w:ascii="Times New Roman" w:hAnsi="Times New Roman" w:cs="Times New Roman"/>
          <w:sz w:val="24"/>
          <w:szCs w:val="24"/>
        </w:rPr>
        <w:t>16. Ceza Dairesinin Bylock’la ilgili verdiği karara gö</w:t>
      </w:r>
      <w:r w:rsidR="00B26E52" w:rsidRPr="00945DAA">
        <w:rPr>
          <w:rFonts w:ascii="Times New Roman" w:hAnsi="Times New Roman" w:cs="Times New Roman"/>
          <w:sz w:val="24"/>
          <w:szCs w:val="24"/>
        </w:rPr>
        <w:t>re;</w:t>
      </w:r>
      <w:r w:rsidRPr="00945DAA">
        <w:rPr>
          <w:rFonts w:ascii="Times New Roman" w:hAnsi="Times New Roman" w:cs="Times New Roman"/>
          <w:sz w:val="24"/>
          <w:szCs w:val="24"/>
        </w:rPr>
        <w:t xml:space="preserve"> içinde Bylock bilgilerinin bulunduğu dijital malzemelerin MİT taraf</w:t>
      </w:r>
      <w:r w:rsidR="0005398E" w:rsidRPr="00945DAA">
        <w:rPr>
          <w:rFonts w:ascii="Times New Roman" w:hAnsi="Times New Roman" w:cs="Times New Roman"/>
          <w:sz w:val="24"/>
          <w:szCs w:val="24"/>
        </w:rPr>
        <w:t>ından teslimi üzerine Ankara C</w:t>
      </w:r>
      <w:r w:rsidR="00663DD5" w:rsidRPr="00945DAA">
        <w:rPr>
          <w:rFonts w:ascii="Times New Roman" w:hAnsi="Times New Roman" w:cs="Times New Roman"/>
          <w:sz w:val="24"/>
          <w:szCs w:val="24"/>
        </w:rPr>
        <w:t xml:space="preserve">umhuriyet </w:t>
      </w:r>
      <w:r w:rsidRPr="00945DAA">
        <w:rPr>
          <w:rFonts w:ascii="Times New Roman" w:hAnsi="Times New Roman" w:cs="Times New Roman"/>
          <w:sz w:val="24"/>
          <w:szCs w:val="24"/>
        </w:rPr>
        <w:t xml:space="preserve">Başsavcılığınca soruşturma başlatılmış (Soruşturma No. 2016/104109) ve 09/12/2016 tarihinde dijital malzemelerden kopya çıkarılması ve imaj alma işlemi için </w:t>
      </w:r>
      <w:r w:rsidR="00CC49E5" w:rsidRPr="00945DAA">
        <w:rPr>
          <w:rFonts w:ascii="Times New Roman" w:hAnsi="Times New Roman" w:cs="Times New Roman"/>
          <w:sz w:val="24"/>
          <w:szCs w:val="24"/>
        </w:rPr>
        <w:t>Ankara 4. Sulh Ceza Hakimliğinden</w:t>
      </w:r>
      <w:r w:rsidRPr="00945DAA">
        <w:rPr>
          <w:rFonts w:ascii="Times New Roman" w:hAnsi="Times New Roman" w:cs="Times New Roman"/>
          <w:sz w:val="24"/>
          <w:szCs w:val="24"/>
        </w:rPr>
        <w:t xml:space="preserve"> talepte bulunul</w:t>
      </w:r>
      <w:r w:rsidR="00B26E52" w:rsidRPr="00945DAA">
        <w:rPr>
          <w:rFonts w:ascii="Times New Roman" w:hAnsi="Times New Roman" w:cs="Times New Roman"/>
          <w:sz w:val="24"/>
          <w:szCs w:val="24"/>
        </w:rPr>
        <w:t>muştur</w:t>
      </w:r>
      <w:r w:rsidRPr="00945DAA">
        <w:rPr>
          <w:rFonts w:ascii="Times New Roman" w:hAnsi="Times New Roman" w:cs="Times New Roman"/>
          <w:sz w:val="24"/>
          <w:szCs w:val="24"/>
        </w:rPr>
        <w:t xml:space="preserve">. </w:t>
      </w:r>
      <w:r w:rsidR="00663DD5" w:rsidRPr="00945DAA">
        <w:rPr>
          <w:rFonts w:ascii="Times New Roman" w:hAnsi="Times New Roman" w:cs="Times New Roman"/>
          <w:sz w:val="24"/>
          <w:szCs w:val="24"/>
        </w:rPr>
        <w:t xml:space="preserve">Ancak, </w:t>
      </w:r>
      <w:r w:rsidRPr="00945DAA">
        <w:rPr>
          <w:rFonts w:ascii="Times New Roman" w:hAnsi="Times New Roman" w:cs="Times New Roman"/>
          <w:sz w:val="24"/>
          <w:szCs w:val="24"/>
        </w:rPr>
        <w:t xml:space="preserve">Bylock’un sonradan dâhil edildiği </w:t>
      </w:r>
      <w:r w:rsidR="00663DD5" w:rsidRPr="00945DAA">
        <w:rPr>
          <w:rFonts w:ascii="Times New Roman" w:hAnsi="Times New Roman" w:cs="Times New Roman"/>
          <w:sz w:val="24"/>
          <w:szCs w:val="24"/>
        </w:rPr>
        <w:t xml:space="preserve">anılan </w:t>
      </w:r>
      <w:r w:rsidRPr="00945DAA">
        <w:rPr>
          <w:rFonts w:ascii="Times New Roman" w:hAnsi="Times New Roman" w:cs="Times New Roman"/>
          <w:sz w:val="24"/>
          <w:szCs w:val="24"/>
        </w:rPr>
        <w:t>soruşturmanın başlangıç tarihi 18/07/2016’dır. Bunun anlamı, Bylock’un MİT tarafından ele geçirilmesinden altı ay sonra başlatılmış bir soruşturmaya</w:t>
      </w:r>
      <w:r w:rsidR="00B26E52" w:rsidRPr="00945DAA">
        <w:rPr>
          <w:rFonts w:ascii="Times New Roman" w:hAnsi="Times New Roman" w:cs="Times New Roman"/>
          <w:sz w:val="24"/>
          <w:szCs w:val="24"/>
        </w:rPr>
        <w:t>, bu soruşturmanın başlamasından beş</w:t>
      </w:r>
      <w:r w:rsidR="00EE46A4" w:rsidRPr="00945DAA">
        <w:rPr>
          <w:rFonts w:ascii="Times New Roman" w:hAnsi="Times New Roman" w:cs="Times New Roman"/>
          <w:sz w:val="24"/>
          <w:szCs w:val="24"/>
        </w:rPr>
        <w:t xml:space="preserve"> ay</w:t>
      </w:r>
      <w:r w:rsidR="00B26E52" w:rsidRPr="00945DAA">
        <w:rPr>
          <w:rFonts w:ascii="Times New Roman" w:hAnsi="Times New Roman" w:cs="Times New Roman"/>
          <w:sz w:val="24"/>
          <w:szCs w:val="24"/>
        </w:rPr>
        <w:t xml:space="preserve"> sonra</w:t>
      </w:r>
      <w:r w:rsidRPr="00945DAA">
        <w:rPr>
          <w:rFonts w:ascii="Times New Roman" w:hAnsi="Times New Roman" w:cs="Times New Roman"/>
          <w:sz w:val="24"/>
          <w:szCs w:val="24"/>
        </w:rPr>
        <w:t xml:space="preserve"> dâhil edildiği</w:t>
      </w:r>
      <w:r w:rsidR="00184816" w:rsidRPr="00945DAA">
        <w:rPr>
          <w:rFonts w:ascii="Times New Roman" w:hAnsi="Times New Roman" w:cs="Times New Roman"/>
          <w:sz w:val="24"/>
          <w:szCs w:val="24"/>
        </w:rPr>
        <w:t>,</w:t>
      </w:r>
      <w:r w:rsidRPr="00945DAA">
        <w:rPr>
          <w:rFonts w:ascii="Times New Roman" w:hAnsi="Times New Roman" w:cs="Times New Roman"/>
          <w:sz w:val="24"/>
          <w:szCs w:val="24"/>
        </w:rPr>
        <w:t xml:space="preserve"> yani soruşturma olmadan ele geçirilen Bylock bilgilerinin</w:t>
      </w:r>
      <w:r w:rsidR="00E039F9" w:rsidRPr="00945DAA">
        <w:rPr>
          <w:rFonts w:ascii="Times New Roman" w:hAnsi="Times New Roman" w:cs="Times New Roman"/>
          <w:sz w:val="24"/>
          <w:szCs w:val="24"/>
        </w:rPr>
        <w:t xml:space="preserve"> ele geçirilmelerinden</w:t>
      </w:r>
      <w:r w:rsidRPr="00945DAA">
        <w:rPr>
          <w:rFonts w:ascii="Times New Roman" w:hAnsi="Times New Roman" w:cs="Times New Roman"/>
          <w:sz w:val="24"/>
          <w:szCs w:val="24"/>
        </w:rPr>
        <w:t xml:space="preserve"> aylar sonra başlatılan bir soruşturmaya dâhil edil</w:t>
      </w:r>
      <w:r w:rsidR="00E039F9" w:rsidRPr="00945DAA">
        <w:rPr>
          <w:rFonts w:ascii="Times New Roman" w:hAnsi="Times New Roman" w:cs="Times New Roman"/>
          <w:sz w:val="24"/>
          <w:szCs w:val="24"/>
        </w:rPr>
        <w:t xml:space="preserve">diğidir. Bu </w:t>
      </w:r>
      <w:r w:rsidRPr="00945DAA">
        <w:rPr>
          <w:rFonts w:ascii="Times New Roman" w:hAnsi="Times New Roman" w:cs="Times New Roman"/>
          <w:sz w:val="24"/>
          <w:szCs w:val="24"/>
        </w:rPr>
        <w:t>suretle</w:t>
      </w:r>
      <w:r w:rsidR="00E039F9" w:rsidRPr="00945DAA">
        <w:rPr>
          <w:rFonts w:ascii="Times New Roman" w:hAnsi="Times New Roman" w:cs="Times New Roman"/>
          <w:sz w:val="24"/>
          <w:szCs w:val="24"/>
        </w:rPr>
        <w:t>,</w:t>
      </w:r>
      <w:r w:rsidRPr="00945DAA">
        <w:rPr>
          <w:rFonts w:ascii="Times New Roman" w:hAnsi="Times New Roman" w:cs="Times New Roman"/>
          <w:sz w:val="24"/>
          <w:szCs w:val="24"/>
        </w:rPr>
        <w:t xml:space="preserve"> CMK’da öngörülen soruşturma usulü tersine çevrilmiştir.</w:t>
      </w:r>
    </w:p>
    <w:p w14:paraId="098B3652" w14:textId="77777777" w:rsidR="00B60AE6" w:rsidRPr="00945DAA" w:rsidRDefault="00E039F9"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 xml:space="preserve">b. </w:t>
      </w:r>
      <w:r w:rsidR="00B60AE6" w:rsidRPr="00945DAA">
        <w:rPr>
          <w:rFonts w:ascii="Times New Roman" w:hAnsi="Times New Roman" w:cs="Times New Roman"/>
          <w:b/>
          <w:i/>
          <w:sz w:val="24"/>
          <w:szCs w:val="24"/>
        </w:rPr>
        <w:t>Sunucuda Arama Yapılabilmesi İçin Verilmiş Bir Hâkim Kararı Var Mıdır?</w:t>
      </w:r>
    </w:p>
    <w:p w14:paraId="3CAFA4C8" w14:textId="77777777" w:rsidR="009806BA" w:rsidRPr="00945DAA" w:rsidRDefault="009806BA"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Arial" w:hAnsi="Times New Roman" w:cs="Times New Roman"/>
          <w:sz w:val="24"/>
          <w:szCs w:val="24"/>
        </w:rPr>
      </w:pPr>
      <w:r w:rsidRPr="00945DAA">
        <w:rPr>
          <w:rFonts w:ascii="Times New Roman" w:hAnsi="Times New Roman" w:cs="Times New Roman"/>
          <w:sz w:val="24"/>
          <w:szCs w:val="24"/>
        </w:rPr>
        <w:t xml:space="preserve">MİT’in hazırladığı Teknik Raporda bu konuda verilmiş bir karardan bahsedilmediği gibi, çalışmanın 2937 sayılı Kanun’un MİT’e verdiği yetkiye istinaden yapıldığı belirtilmiştir. </w:t>
      </w:r>
      <w:r w:rsidR="0072676A" w:rsidRPr="00945DAA">
        <w:rPr>
          <w:rFonts w:ascii="Times New Roman" w:hAnsi="Times New Roman" w:cs="Times New Roman"/>
          <w:sz w:val="24"/>
          <w:szCs w:val="24"/>
        </w:rPr>
        <w:t>Yine,</w:t>
      </w:r>
      <w:r w:rsidRPr="00945DAA">
        <w:rPr>
          <w:rFonts w:ascii="Times New Roman" w:hAnsi="Times New Roman" w:cs="Times New Roman"/>
          <w:sz w:val="24"/>
          <w:szCs w:val="24"/>
        </w:rPr>
        <w:t xml:space="preserve"> konuyla ilgili </w:t>
      </w:r>
      <w:r w:rsidR="00B26E52" w:rsidRPr="00945DAA">
        <w:rPr>
          <w:rFonts w:ascii="Times New Roman" w:hAnsi="Times New Roman" w:cs="Times New Roman"/>
          <w:sz w:val="24"/>
          <w:szCs w:val="24"/>
        </w:rPr>
        <w:t>Yargıtay kararlarında da,</w:t>
      </w:r>
      <w:r w:rsidRPr="00945DAA">
        <w:rPr>
          <w:rFonts w:ascii="Times New Roman" w:hAnsi="Times New Roman" w:cs="Times New Roman"/>
          <w:sz w:val="24"/>
          <w:szCs w:val="24"/>
        </w:rPr>
        <w:t xml:space="preserve"> Bylock </w:t>
      </w:r>
      <w:r w:rsidR="00663DD5" w:rsidRPr="00945DAA">
        <w:rPr>
          <w:rFonts w:ascii="Times New Roman" w:hAnsi="Times New Roman" w:cs="Times New Roman"/>
          <w:sz w:val="24"/>
          <w:szCs w:val="24"/>
        </w:rPr>
        <w:t xml:space="preserve">verilerinin </w:t>
      </w:r>
      <w:r w:rsidRPr="00945DAA">
        <w:rPr>
          <w:rFonts w:ascii="Times New Roman" w:hAnsi="Times New Roman" w:cs="Times New Roman"/>
          <w:sz w:val="24"/>
          <w:szCs w:val="24"/>
        </w:rPr>
        <w:t>MİT’in yaptığı istihbari çalışma sonucu elde edildiği belirtilerek bu konuda verilmiş bir karara atıf yapılmamıştır.</w:t>
      </w:r>
      <w:r w:rsidR="00B26E52" w:rsidRPr="00945DAA">
        <w:rPr>
          <w:rStyle w:val="DipnotBavurusu"/>
          <w:rFonts w:ascii="Times New Roman" w:hAnsi="Times New Roman"/>
          <w:sz w:val="24"/>
          <w:szCs w:val="24"/>
        </w:rPr>
        <w:footnoteReference w:id="9"/>
      </w:r>
    </w:p>
    <w:p w14:paraId="395160F4" w14:textId="77777777" w:rsidR="00116F1D" w:rsidRPr="00945DAA" w:rsidRDefault="009806BA"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Ceza Genel Kurulu</w:t>
      </w:r>
      <w:r w:rsidR="00663DD5" w:rsidRPr="00945DAA">
        <w:rPr>
          <w:rFonts w:ascii="Times New Roman" w:hAnsi="Times New Roman" w:cs="Times New Roman"/>
          <w:sz w:val="24"/>
          <w:szCs w:val="24"/>
        </w:rPr>
        <w:t>,</w:t>
      </w:r>
      <w:r w:rsidRPr="00945DAA">
        <w:rPr>
          <w:rFonts w:ascii="Times New Roman" w:hAnsi="Times New Roman" w:cs="Times New Roman"/>
          <w:sz w:val="24"/>
          <w:szCs w:val="24"/>
        </w:rPr>
        <w:t xml:space="preserve"> Bylock ile ilgili 16. Ceza Dairesinin verdiği ilk kararın temyiz incelemesini yaptığı dosyada;</w:t>
      </w:r>
      <w:r w:rsidR="00663DD5" w:rsidRPr="00945DAA">
        <w:rPr>
          <w:rFonts w:ascii="Times New Roman" w:hAnsi="Times New Roman" w:cs="Times New Roman"/>
          <w:sz w:val="24"/>
          <w:szCs w:val="24"/>
        </w:rPr>
        <w:t xml:space="preserve"> </w:t>
      </w:r>
      <w:r w:rsidR="00663DD5" w:rsidRPr="00945DAA">
        <w:rPr>
          <w:rFonts w:ascii="Times New Roman" w:hAnsi="Times New Roman" w:cs="Times New Roman"/>
          <w:i/>
          <w:iCs/>
          <w:sz w:val="24"/>
          <w:szCs w:val="24"/>
        </w:rPr>
        <w:t xml:space="preserve">“... MİT’in yasal yetkisi çerçevesinde temin ettiği Bylock veri tabanı üzerinde CMK’nın 134üncü maddesi gereğince </w:t>
      </w:r>
      <w:r w:rsidR="00663DD5" w:rsidRPr="00945DAA">
        <w:rPr>
          <w:rFonts w:ascii="Times New Roman" w:hAnsi="Times New Roman" w:cs="Times New Roman"/>
          <w:b/>
          <w:i/>
          <w:iCs/>
          <w:sz w:val="24"/>
          <w:szCs w:val="24"/>
        </w:rPr>
        <w:t>geçmişe dönük olarak uygulanan arama tedbirinin</w:t>
      </w:r>
      <w:r w:rsidR="00663DD5" w:rsidRPr="00945DAA">
        <w:rPr>
          <w:rFonts w:ascii="Times New Roman" w:hAnsi="Times New Roman" w:cs="Times New Roman"/>
          <w:i/>
          <w:iCs/>
          <w:sz w:val="24"/>
          <w:szCs w:val="24"/>
        </w:rPr>
        <w:t xml:space="preserve">; “demokratik bir ülkede gereklilik” ve “orantılılık” ilkelerine uygun olduğu kuşkusuzdur” </w:t>
      </w:r>
      <w:r w:rsidR="00663DD5" w:rsidRPr="00945DAA">
        <w:rPr>
          <w:rFonts w:ascii="Times New Roman" w:hAnsi="Times New Roman" w:cs="Times New Roman"/>
          <w:sz w:val="24"/>
          <w:szCs w:val="24"/>
        </w:rPr>
        <w:t>demiştir.</w:t>
      </w:r>
      <w:r w:rsidRPr="00945DAA">
        <w:rPr>
          <w:rFonts w:ascii="Times New Roman" w:hAnsi="Times New Roman" w:cs="Times New Roman"/>
          <w:sz w:val="24"/>
          <w:szCs w:val="24"/>
          <w:vertAlign w:val="superscript"/>
        </w:rPr>
        <w:footnoteReference w:id="10"/>
      </w:r>
      <w:r w:rsidRPr="00945DAA">
        <w:rPr>
          <w:rFonts w:ascii="Times New Roman" w:hAnsi="Times New Roman" w:cs="Times New Roman"/>
          <w:sz w:val="24"/>
          <w:szCs w:val="24"/>
        </w:rPr>
        <w:t xml:space="preserve"> Kararda yer verilen</w:t>
      </w:r>
      <w:r w:rsidR="00743BC9" w:rsidRPr="00945DAA">
        <w:rPr>
          <w:rFonts w:ascii="Times New Roman" w:hAnsi="Times New Roman" w:cs="Times New Roman"/>
          <w:sz w:val="24"/>
          <w:szCs w:val="24"/>
        </w:rPr>
        <w:t xml:space="preserve"> ve geçmişe dönük olarak uygulandığı belirtilen hakim kararı</w:t>
      </w:r>
      <w:r w:rsidR="001006DD" w:rsidRPr="00945DAA">
        <w:rPr>
          <w:rFonts w:ascii="Times New Roman" w:hAnsi="Times New Roman" w:cs="Times New Roman"/>
          <w:sz w:val="24"/>
          <w:szCs w:val="24"/>
        </w:rPr>
        <w:t>,</w:t>
      </w:r>
      <w:r w:rsidR="00743BC9" w:rsidRPr="00945DAA">
        <w:rPr>
          <w:rFonts w:ascii="Times New Roman" w:hAnsi="Times New Roman" w:cs="Times New Roman"/>
          <w:sz w:val="24"/>
          <w:szCs w:val="24"/>
        </w:rPr>
        <w:t xml:space="preserve"> 09/12/2016 tarihinde Ankara 4. Sulh Ceza Hak</w:t>
      </w:r>
      <w:r w:rsidR="00116F1D" w:rsidRPr="00945DAA">
        <w:rPr>
          <w:rFonts w:ascii="Times New Roman" w:hAnsi="Times New Roman" w:cs="Times New Roman"/>
          <w:sz w:val="24"/>
          <w:szCs w:val="24"/>
        </w:rPr>
        <w:t xml:space="preserve">imliği tarafından </w:t>
      </w:r>
      <w:r w:rsidR="001006DD" w:rsidRPr="00945DAA">
        <w:rPr>
          <w:rFonts w:ascii="Times New Roman" w:hAnsi="Times New Roman" w:cs="Times New Roman"/>
          <w:sz w:val="24"/>
          <w:szCs w:val="24"/>
        </w:rPr>
        <w:t xml:space="preserve">verilen yukarıdaki karardır </w:t>
      </w:r>
      <w:r w:rsidR="00116F1D" w:rsidRPr="00945DAA">
        <w:rPr>
          <w:rFonts w:ascii="Times New Roman" w:hAnsi="Times New Roman" w:cs="Times New Roman"/>
          <w:sz w:val="24"/>
          <w:szCs w:val="24"/>
        </w:rPr>
        <w:t>(</w:t>
      </w:r>
      <w:r w:rsidR="00743BC9" w:rsidRPr="00945DAA">
        <w:rPr>
          <w:rFonts w:ascii="Times New Roman" w:hAnsi="Times New Roman" w:cs="Times New Roman"/>
          <w:sz w:val="24"/>
          <w:szCs w:val="24"/>
        </w:rPr>
        <w:t>2016/6774 D. İş).</w:t>
      </w:r>
    </w:p>
    <w:p w14:paraId="02013162" w14:textId="77777777" w:rsidR="009E2E3B" w:rsidRPr="00945DAA" w:rsidRDefault="00743BC9"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Karar tarihinden de anlaşılacağı ü</w:t>
      </w:r>
      <w:r w:rsidR="00116F1D" w:rsidRPr="00945DAA">
        <w:rPr>
          <w:rFonts w:ascii="Times New Roman" w:hAnsi="Times New Roman" w:cs="Times New Roman"/>
          <w:sz w:val="24"/>
          <w:szCs w:val="24"/>
        </w:rPr>
        <w:t>zere; MİT tarafından 2016 yılı O</w:t>
      </w:r>
      <w:r w:rsidRPr="00945DAA">
        <w:rPr>
          <w:rFonts w:ascii="Times New Roman" w:hAnsi="Times New Roman" w:cs="Times New Roman"/>
          <w:sz w:val="24"/>
          <w:szCs w:val="24"/>
        </w:rPr>
        <w:t>cak ayında elde edilip üzerinde çalışma yapılan ve MİT’in 04/</w:t>
      </w:r>
      <w:r w:rsidR="00116F1D" w:rsidRPr="00945DAA">
        <w:rPr>
          <w:rFonts w:ascii="Times New Roman" w:hAnsi="Times New Roman" w:cs="Times New Roman"/>
          <w:sz w:val="24"/>
          <w:szCs w:val="24"/>
        </w:rPr>
        <w:t>0</w:t>
      </w:r>
      <w:r w:rsidRPr="00945DAA">
        <w:rPr>
          <w:rFonts w:ascii="Times New Roman" w:hAnsi="Times New Roman" w:cs="Times New Roman"/>
          <w:sz w:val="24"/>
          <w:szCs w:val="24"/>
        </w:rPr>
        <w:t xml:space="preserve">4/2017 tarihli basın açıklamasında belirttiği </w:t>
      </w:r>
      <w:r w:rsidR="009E2E3B" w:rsidRPr="00945DAA">
        <w:rPr>
          <w:rFonts w:ascii="Times New Roman" w:hAnsi="Times New Roman" w:cs="Times New Roman"/>
          <w:sz w:val="24"/>
          <w:szCs w:val="24"/>
        </w:rPr>
        <w:t>şekliyle</w:t>
      </w:r>
      <w:r w:rsidRPr="00945DAA">
        <w:rPr>
          <w:rFonts w:ascii="Times New Roman" w:hAnsi="Times New Roman" w:cs="Times New Roman"/>
          <w:sz w:val="24"/>
          <w:szCs w:val="24"/>
        </w:rPr>
        <w:t xml:space="preserve"> Mayıs 2016 itibariyle res</w:t>
      </w:r>
      <w:r w:rsidR="0005398E" w:rsidRPr="00945DAA">
        <w:rPr>
          <w:rFonts w:ascii="Times New Roman" w:hAnsi="Times New Roman" w:cs="Times New Roman"/>
          <w:sz w:val="24"/>
          <w:szCs w:val="24"/>
        </w:rPr>
        <w:t>mi kurumlarla paylaşılan Bylock’la ilgili</w:t>
      </w:r>
      <w:r w:rsidRPr="00945DAA">
        <w:rPr>
          <w:rFonts w:ascii="Times New Roman" w:hAnsi="Times New Roman" w:cs="Times New Roman"/>
          <w:sz w:val="24"/>
          <w:szCs w:val="24"/>
        </w:rPr>
        <w:t xml:space="preserve"> arama kararı, neredeyse bu bilgi ve verilerin elde edilmesinden </w:t>
      </w:r>
      <w:r w:rsidR="00EE46A4" w:rsidRPr="00945DAA">
        <w:rPr>
          <w:rFonts w:ascii="Times New Roman" w:hAnsi="Times New Roman" w:cs="Times New Roman"/>
          <w:sz w:val="24"/>
          <w:szCs w:val="24"/>
        </w:rPr>
        <w:t>on bir ay</w:t>
      </w:r>
      <w:r w:rsidRPr="00945DAA">
        <w:rPr>
          <w:rFonts w:ascii="Times New Roman" w:hAnsi="Times New Roman" w:cs="Times New Roman"/>
          <w:sz w:val="24"/>
          <w:szCs w:val="24"/>
        </w:rPr>
        <w:t xml:space="preserve"> sonra </w:t>
      </w:r>
      <w:r w:rsidR="009E2E3B" w:rsidRPr="00945DAA">
        <w:rPr>
          <w:rFonts w:ascii="Times New Roman" w:hAnsi="Times New Roman" w:cs="Times New Roman"/>
          <w:sz w:val="24"/>
          <w:szCs w:val="24"/>
        </w:rPr>
        <w:t xml:space="preserve">verilmiştir. </w:t>
      </w:r>
      <w:r w:rsidR="001006DD" w:rsidRPr="00945DAA">
        <w:rPr>
          <w:rFonts w:ascii="Times New Roman" w:hAnsi="Times New Roman" w:cs="Times New Roman"/>
          <w:sz w:val="24"/>
          <w:szCs w:val="24"/>
        </w:rPr>
        <w:t>Özetle</w:t>
      </w:r>
      <w:r w:rsidR="009E2E3B" w:rsidRPr="00945DAA">
        <w:rPr>
          <w:rFonts w:ascii="Times New Roman" w:hAnsi="Times New Roman" w:cs="Times New Roman"/>
          <w:sz w:val="24"/>
          <w:szCs w:val="24"/>
        </w:rPr>
        <w:t>, Bylock bilgileri elde edilmeden önce</w:t>
      </w:r>
      <w:r w:rsidR="009806BA" w:rsidRPr="00945DAA">
        <w:rPr>
          <w:rFonts w:ascii="Times New Roman" w:hAnsi="Times New Roman" w:cs="Times New Roman"/>
          <w:sz w:val="24"/>
          <w:szCs w:val="24"/>
        </w:rPr>
        <w:t xml:space="preserve"> Bylock sunucusunda arama yapılması</w:t>
      </w:r>
      <w:r w:rsidR="009E2E3B" w:rsidRPr="00945DAA">
        <w:rPr>
          <w:rFonts w:ascii="Times New Roman" w:hAnsi="Times New Roman" w:cs="Times New Roman"/>
          <w:sz w:val="24"/>
          <w:szCs w:val="24"/>
        </w:rPr>
        <w:t>na ilişkin</w:t>
      </w:r>
      <w:r w:rsidR="009806BA" w:rsidRPr="00945DAA">
        <w:rPr>
          <w:rFonts w:ascii="Times New Roman" w:hAnsi="Times New Roman" w:cs="Times New Roman"/>
          <w:sz w:val="24"/>
          <w:szCs w:val="24"/>
        </w:rPr>
        <w:t xml:space="preserve"> </w:t>
      </w:r>
      <w:r w:rsidR="001006DD" w:rsidRPr="00945DAA">
        <w:rPr>
          <w:rFonts w:ascii="Times New Roman" w:hAnsi="Times New Roman" w:cs="Times New Roman"/>
          <w:sz w:val="24"/>
          <w:szCs w:val="24"/>
        </w:rPr>
        <w:t xml:space="preserve">CMK’nın 134. maddesi gereğince alınmış </w:t>
      </w:r>
      <w:r w:rsidR="009806BA" w:rsidRPr="00945DAA">
        <w:rPr>
          <w:rFonts w:ascii="Times New Roman" w:hAnsi="Times New Roman" w:cs="Times New Roman"/>
          <w:sz w:val="24"/>
          <w:szCs w:val="24"/>
        </w:rPr>
        <w:t>bir hâkim kararı</w:t>
      </w:r>
      <w:r w:rsidR="00782EE5" w:rsidRPr="00945DAA">
        <w:rPr>
          <w:rFonts w:ascii="Times New Roman" w:hAnsi="Times New Roman" w:cs="Times New Roman"/>
          <w:sz w:val="24"/>
          <w:szCs w:val="24"/>
        </w:rPr>
        <w:t xml:space="preserve"> bulunmamakta</w:t>
      </w:r>
      <w:r w:rsidR="001006DD" w:rsidRPr="00945DAA">
        <w:rPr>
          <w:rFonts w:ascii="Times New Roman" w:hAnsi="Times New Roman" w:cs="Times New Roman"/>
          <w:sz w:val="24"/>
          <w:szCs w:val="24"/>
        </w:rPr>
        <w:t>ydı</w:t>
      </w:r>
      <w:r w:rsidR="009806BA" w:rsidRPr="00945DAA">
        <w:rPr>
          <w:rFonts w:ascii="Times New Roman" w:hAnsi="Times New Roman" w:cs="Times New Roman"/>
          <w:sz w:val="24"/>
          <w:szCs w:val="24"/>
        </w:rPr>
        <w:t>.</w:t>
      </w:r>
      <w:r w:rsidR="00CC49E5" w:rsidRPr="00945DAA">
        <w:rPr>
          <w:rFonts w:ascii="Times New Roman" w:hAnsi="Times New Roman" w:cs="Times New Roman"/>
          <w:sz w:val="24"/>
          <w:szCs w:val="24"/>
        </w:rPr>
        <w:t xml:space="preserve"> A</w:t>
      </w:r>
      <w:r w:rsidRPr="00945DAA">
        <w:rPr>
          <w:rFonts w:ascii="Times New Roman" w:hAnsi="Times New Roman" w:cs="Times New Roman"/>
          <w:sz w:val="24"/>
          <w:szCs w:val="24"/>
        </w:rPr>
        <w:t>yrıca</w:t>
      </w:r>
      <w:r w:rsidR="001006DD" w:rsidRPr="00945DAA">
        <w:rPr>
          <w:rFonts w:ascii="Times New Roman" w:hAnsi="Times New Roman" w:cs="Times New Roman"/>
          <w:sz w:val="24"/>
          <w:szCs w:val="24"/>
        </w:rPr>
        <w:t xml:space="preserve"> CMK’da</w:t>
      </w:r>
      <w:r w:rsidRPr="00945DAA">
        <w:rPr>
          <w:rFonts w:ascii="Times New Roman" w:hAnsi="Times New Roman" w:cs="Times New Roman"/>
          <w:sz w:val="24"/>
          <w:szCs w:val="24"/>
        </w:rPr>
        <w:t>,</w:t>
      </w:r>
      <w:r w:rsidR="00CC49E5" w:rsidRPr="00945DAA">
        <w:rPr>
          <w:rFonts w:ascii="Times New Roman" w:hAnsi="Times New Roman" w:cs="Times New Roman"/>
          <w:sz w:val="24"/>
          <w:szCs w:val="24"/>
        </w:rPr>
        <w:t xml:space="preserve"> </w:t>
      </w:r>
      <w:r w:rsidR="00EE46A4" w:rsidRPr="00945DAA">
        <w:rPr>
          <w:rFonts w:ascii="Times New Roman" w:hAnsi="Times New Roman" w:cs="Times New Roman"/>
          <w:sz w:val="24"/>
          <w:szCs w:val="24"/>
        </w:rPr>
        <w:t xml:space="preserve">Ceza Genel Kurulu karında </w:t>
      </w:r>
      <w:r w:rsidR="001006DD" w:rsidRPr="00945DAA">
        <w:rPr>
          <w:rFonts w:ascii="Times New Roman" w:hAnsi="Times New Roman" w:cs="Times New Roman"/>
          <w:sz w:val="24"/>
          <w:szCs w:val="24"/>
        </w:rPr>
        <w:t>bahsedildiği</w:t>
      </w:r>
      <w:r w:rsidR="00EE46A4" w:rsidRPr="00945DAA">
        <w:rPr>
          <w:rFonts w:ascii="Times New Roman" w:hAnsi="Times New Roman" w:cs="Times New Roman"/>
          <w:sz w:val="24"/>
          <w:szCs w:val="24"/>
        </w:rPr>
        <w:t xml:space="preserve"> şekliyle </w:t>
      </w:r>
      <w:r w:rsidR="00CC49E5" w:rsidRPr="00945DAA">
        <w:rPr>
          <w:rFonts w:ascii="Times New Roman" w:hAnsi="Times New Roman" w:cs="Times New Roman"/>
          <w:sz w:val="24"/>
          <w:szCs w:val="24"/>
        </w:rPr>
        <w:t xml:space="preserve">geçmişe dönük arama usulü </w:t>
      </w:r>
      <w:r w:rsidR="00A32E8A" w:rsidRPr="00945DAA">
        <w:rPr>
          <w:rFonts w:ascii="Times New Roman" w:hAnsi="Times New Roman" w:cs="Times New Roman"/>
          <w:sz w:val="24"/>
          <w:szCs w:val="24"/>
        </w:rPr>
        <w:t xml:space="preserve">de </w:t>
      </w:r>
      <w:r w:rsidR="00782EE5" w:rsidRPr="00945DAA">
        <w:rPr>
          <w:rFonts w:ascii="Times New Roman" w:hAnsi="Times New Roman" w:cs="Times New Roman"/>
          <w:sz w:val="24"/>
          <w:szCs w:val="24"/>
        </w:rPr>
        <w:t>bulunmadığı gibi</w:t>
      </w:r>
      <w:r w:rsidR="00CC49E5" w:rsidRPr="00945DAA">
        <w:rPr>
          <w:rFonts w:ascii="Times New Roman" w:hAnsi="Times New Roman" w:cs="Times New Roman"/>
          <w:sz w:val="24"/>
          <w:szCs w:val="24"/>
        </w:rPr>
        <w:t xml:space="preserve"> arama karar</w:t>
      </w:r>
      <w:r w:rsidR="001006DD" w:rsidRPr="00945DAA">
        <w:rPr>
          <w:rFonts w:ascii="Times New Roman" w:hAnsi="Times New Roman" w:cs="Times New Roman"/>
          <w:sz w:val="24"/>
          <w:szCs w:val="24"/>
        </w:rPr>
        <w:t>lar</w:t>
      </w:r>
      <w:r w:rsidR="00CC49E5" w:rsidRPr="00945DAA">
        <w:rPr>
          <w:rFonts w:ascii="Times New Roman" w:hAnsi="Times New Roman" w:cs="Times New Roman"/>
          <w:sz w:val="24"/>
          <w:szCs w:val="24"/>
        </w:rPr>
        <w:t xml:space="preserve">ı geçmişe değil geleceğe etkili sonuç doğurur. Zira </w:t>
      </w:r>
      <w:r w:rsidR="001006DD" w:rsidRPr="00945DAA">
        <w:rPr>
          <w:rFonts w:ascii="Times New Roman" w:hAnsi="Times New Roman" w:cs="Times New Roman"/>
          <w:sz w:val="24"/>
          <w:szCs w:val="24"/>
        </w:rPr>
        <w:t xml:space="preserve">kopyalama ve el koyma işlemi, ancak </w:t>
      </w:r>
      <w:r w:rsidR="00CC49E5" w:rsidRPr="00945DAA">
        <w:rPr>
          <w:rFonts w:ascii="Times New Roman" w:hAnsi="Times New Roman" w:cs="Times New Roman"/>
          <w:sz w:val="24"/>
          <w:szCs w:val="24"/>
        </w:rPr>
        <w:t>verilen arama kararı ve bu kararın icrası sonucu elde edilecek dijital materyal üzerinde yapılabilir.</w:t>
      </w:r>
    </w:p>
    <w:p w14:paraId="07754515" w14:textId="77777777" w:rsidR="0067087B" w:rsidRPr="00945DAA" w:rsidRDefault="00CC49E5"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 xml:space="preserve">c. </w:t>
      </w:r>
      <w:r w:rsidR="00E039F9" w:rsidRPr="00945DAA">
        <w:rPr>
          <w:rFonts w:ascii="Times New Roman" w:hAnsi="Times New Roman" w:cs="Times New Roman"/>
          <w:b/>
          <w:i/>
          <w:sz w:val="24"/>
          <w:szCs w:val="24"/>
        </w:rPr>
        <w:t>Bylock Sunucusundan Usulüne Uygun İmaj Alınmış Mıdır?</w:t>
      </w:r>
    </w:p>
    <w:p w14:paraId="38E7EB13" w14:textId="77777777" w:rsidR="0076685A" w:rsidRPr="00945DAA" w:rsidRDefault="00E039F9"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MİT’in hazırladığı Teknik Raporda ve hazırlanan tutanaklarda Bylock bilgilerinin ele geçirilmesi sırasında Bylock sunucusunun bağlı olduğu ana bilgisayardan imaj alındığına ilişkin bir bilgiye ve verilerin elde ediliş yöntemine </w:t>
      </w:r>
      <w:r w:rsidR="001006DD" w:rsidRPr="00945DAA">
        <w:rPr>
          <w:rFonts w:ascii="Times New Roman" w:hAnsi="Times New Roman" w:cs="Times New Roman"/>
          <w:sz w:val="24"/>
          <w:szCs w:val="24"/>
        </w:rPr>
        <w:t>değinilmemiştir</w:t>
      </w:r>
      <w:r w:rsidRPr="00945DAA">
        <w:rPr>
          <w:rFonts w:ascii="Times New Roman" w:hAnsi="Times New Roman" w:cs="Times New Roman"/>
          <w:sz w:val="24"/>
          <w:szCs w:val="24"/>
        </w:rPr>
        <w:t>.</w:t>
      </w:r>
      <w:r w:rsidR="0076685A" w:rsidRPr="00945DAA">
        <w:rPr>
          <w:rFonts w:ascii="Times New Roman" w:hAnsi="Times New Roman" w:cs="Times New Roman"/>
          <w:sz w:val="24"/>
          <w:szCs w:val="24"/>
        </w:rPr>
        <w:t xml:space="preserve"> Raporda, imaj alma işlemine hiç yer verilmeyip istihbari gerekçeler ileri sürülerek bilgilerin elde ediliş yöntemi dahi gizlenmiştir. MİT, Bylock sunucunun ele geçirilmesine ilişkin çalışmasını istihbari faaliyet kapsamında yapmış ve bilgileri </w:t>
      </w:r>
      <w:r w:rsidR="0076685A" w:rsidRPr="00945DAA">
        <w:rPr>
          <w:rFonts w:ascii="Times New Roman" w:hAnsi="Times New Roman" w:cs="Times New Roman"/>
          <w:i/>
          <w:iCs/>
          <w:sz w:val="24"/>
          <w:szCs w:val="24"/>
        </w:rPr>
        <w:t xml:space="preserve">“hassas” </w:t>
      </w:r>
      <w:r w:rsidR="0076685A" w:rsidRPr="00945DAA">
        <w:rPr>
          <w:rFonts w:ascii="Times New Roman" w:hAnsi="Times New Roman" w:cs="Times New Roman"/>
          <w:sz w:val="24"/>
          <w:szCs w:val="24"/>
        </w:rPr>
        <w:t>yöntem olarak adlandırdığı hackerlik (bilgisayar korsanlığı) yoluyla ele geçirmiştir.</w:t>
      </w:r>
    </w:p>
    <w:p w14:paraId="34320FD0" w14:textId="7AA1E372" w:rsidR="0076685A" w:rsidRPr="00945DAA" w:rsidRDefault="0076685A"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Sunucuya ve veri tabanına hâkim kararı olmadan müdahale edildiğinden</w:t>
      </w:r>
      <w:r w:rsidR="001006DD" w:rsidRPr="00945DAA">
        <w:rPr>
          <w:rFonts w:ascii="Times New Roman" w:hAnsi="Times New Roman" w:cs="Times New Roman"/>
          <w:sz w:val="24"/>
          <w:szCs w:val="24"/>
        </w:rPr>
        <w:t>;</w:t>
      </w:r>
      <w:r w:rsidRPr="00945DAA">
        <w:rPr>
          <w:rFonts w:ascii="Times New Roman" w:hAnsi="Times New Roman" w:cs="Times New Roman"/>
          <w:sz w:val="24"/>
          <w:szCs w:val="24"/>
        </w:rPr>
        <w:t xml:space="preserve"> uygulamanın bütünlüğü, gizliliği, doğruluğu kaybolmuş, uygulama sunucusuna ve veri tabanına veri ekleme, silme ve çıkarma işlemlerinin yapılabilmesi mümkün hale gelmiş ve elde edilen bilgilerin güvenilirliği ortadan </w:t>
      </w:r>
      <w:r w:rsidRPr="00945DAA">
        <w:rPr>
          <w:rFonts w:ascii="Times New Roman" w:hAnsi="Times New Roman" w:cs="Times New Roman"/>
          <w:sz w:val="24"/>
          <w:szCs w:val="24"/>
        </w:rPr>
        <w:lastRenderedPageBreak/>
        <w:t>kalkmışt</w:t>
      </w:r>
      <w:r w:rsidR="00116F1D" w:rsidRPr="00945DAA">
        <w:rPr>
          <w:rFonts w:ascii="Times New Roman" w:hAnsi="Times New Roman" w:cs="Times New Roman"/>
          <w:sz w:val="24"/>
          <w:szCs w:val="24"/>
        </w:rPr>
        <w:t>ır. Kaldı ki bu konuda Ankara C</w:t>
      </w:r>
      <w:r w:rsidR="00BA7614">
        <w:rPr>
          <w:rFonts w:ascii="Times New Roman" w:hAnsi="Times New Roman" w:cs="Times New Roman"/>
          <w:sz w:val="24"/>
          <w:szCs w:val="24"/>
        </w:rPr>
        <w:t xml:space="preserve">umhuriyet </w:t>
      </w:r>
      <w:r w:rsidRPr="00945DAA">
        <w:rPr>
          <w:rFonts w:ascii="Times New Roman" w:hAnsi="Times New Roman" w:cs="Times New Roman"/>
          <w:sz w:val="24"/>
          <w:szCs w:val="24"/>
        </w:rPr>
        <w:t xml:space="preserve">Başsavcılığı tarafından </w:t>
      </w:r>
      <w:r w:rsidR="00EE46A4" w:rsidRPr="00945DAA">
        <w:rPr>
          <w:rFonts w:ascii="Times New Roman" w:hAnsi="Times New Roman" w:cs="Times New Roman"/>
          <w:sz w:val="24"/>
          <w:szCs w:val="24"/>
        </w:rPr>
        <w:t xml:space="preserve">2016/104109 soruşturma numaralı dosya kapsamında aldırılan 12/7/2017 tarihli </w:t>
      </w:r>
      <w:r w:rsidRPr="00945DAA">
        <w:rPr>
          <w:rFonts w:ascii="Times New Roman" w:hAnsi="Times New Roman" w:cs="Times New Roman"/>
          <w:sz w:val="24"/>
          <w:szCs w:val="24"/>
        </w:rPr>
        <w:t xml:space="preserve">bilirkişi raporunda da </w:t>
      </w:r>
      <w:r w:rsidRPr="00945DAA">
        <w:rPr>
          <w:rFonts w:ascii="Times New Roman" w:hAnsi="Times New Roman" w:cs="Times New Roman"/>
          <w:bCs/>
          <w:sz w:val="24"/>
          <w:szCs w:val="24"/>
        </w:rPr>
        <w:t>Bylock veri tabanının yapısının bozuk olduğu</w:t>
      </w:r>
      <w:r w:rsidRPr="00945DAA">
        <w:rPr>
          <w:rFonts w:ascii="Times New Roman" w:hAnsi="Times New Roman" w:cs="Times New Roman"/>
          <w:sz w:val="24"/>
          <w:szCs w:val="24"/>
        </w:rPr>
        <w:t>, yani orijinal olmadığı, üzerinde oynama yapıldığı ve bir takım teknik yöntemlerle geri getirildiği belirtilmiştir.</w:t>
      </w:r>
    </w:p>
    <w:p w14:paraId="2369E267" w14:textId="15E069E6" w:rsidR="00184816" w:rsidRPr="00945DAA" w:rsidRDefault="00163367"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Şöyle ki;</w:t>
      </w:r>
      <w:r w:rsidR="00184816" w:rsidRPr="00945DAA">
        <w:rPr>
          <w:rFonts w:ascii="Times New Roman" w:hAnsi="Times New Roman" w:cs="Times New Roman"/>
          <w:sz w:val="24"/>
          <w:szCs w:val="24"/>
        </w:rPr>
        <w:t xml:space="preserve"> </w:t>
      </w:r>
      <w:r w:rsidRPr="00945DAA">
        <w:rPr>
          <w:rFonts w:ascii="Times New Roman" w:hAnsi="Times New Roman" w:cs="Times New Roman"/>
          <w:sz w:val="24"/>
          <w:szCs w:val="24"/>
        </w:rPr>
        <w:t>Ceza Genel Kurulu,</w:t>
      </w:r>
      <w:r w:rsidR="00184816" w:rsidRPr="00945DAA">
        <w:rPr>
          <w:rFonts w:ascii="Times New Roman" w:hAnsi="Times New Roman" w:cs="Times New Roman"/>
          <w:sz w:val="24"/>
          <w:szCs w:val="24"/>
        </w:rPr>
        <w:t xml:space="preserve"> </w:t>
      </w:r>
      <w:r w:rsidR="00184816" w:rsidRPr="00945DAA">
        <w:rPr>
          <w:rFonts w:ascii="Times New Roman" w:hAnsi="Times New Roman" w:cs="Times New Roman"/>
          <w:iCs/>
          <w:sz w:val="24"/>
          <w:szCs w:val="24"/>
        </w:rPr>
        <w:t xml:space="preserve">20/12/2018 </w:t>
      </w:r>
      <w:r w:rsidR="00184816" w:rsidRPr="00945DAA">
        <w:rPr>
          <w:rFonts w:ascii="Times New Roman" w:hAnsi="Times New Roman" w:cs="Times New Roman"/>
          <w:sz w:val="24"/>
          <w:szCs w:val="24"/>
        </w:rPr>
        <w:t>tarihli kararında</w:t>
      </w:r>
      <w:r w:rsidR="00184816" w:rsidRPr="00945DAA">
        <w:rPr>
          <w:rFonts w:ascii="Times New Roman" w:hAnsi="Times New Roman" w:cs="Times New Roman"/>
          <w:sz w:val="24"/>
          <w:szCs w:val="24"/>
          <w:vertAlign w:val="superscript"/>
        </w:rPr>
        <w:footnoteReference w:id="11"/>
      </w:r>
      <w:r w:rsidR="009E2E3B" w:rsidRPr="00945DAA">
        <w:rPr>
          <w:rFonts w:ascii="Times New Roman" w:hAnsi="Times New Roman" w:cs="Times New Roman"/>
          <w:sz w:val="24"/>
          <w:szCs w:val="24"/>
          <w:vertAlign w:val="superscript"/>
        </w:rPr>
        <w:t xml:space="preserve"> </w:t>
      </w:r>
      <w:r w:rsidR="00184816" w:rsidRPr="00945DAA">
        <w:rPr>
          <w:rFonts w:ascii="Times New Roman" w:hAnsi="Times New Roman" w:cs="Times New Roman"/>
          <w:sz w:val="24"/>
          <w:szCs w:val="24"/>
        </w:rPr>
        <w:t xml:space="preserve">Emniyet Genel Müdürlüğü tarafından hazırlanan 11/12/2018 tarihli </w:t>
      </w:r>
      <w:r w:rsidR="00184816" w:rsidRPr="00BA7614">
        <w:rPr>
          <w:rFonts w:ascii="Times New Roman" w:hAnsi="Times New Roman" w:cs="Times New Roman"/>
          <w:sz w:val="24"/>
          <w:szCs w:val="24"/>
        </w:rPr>
        <w:t>“</w:t>
      </w:r>
      <w:r w:rsidR="00184816" w:rsidRPr="00945DAA">
        <w:rPr>
          <w:rFonts w:ascii="Times New Roman" w:hAnsi="Times New Roman" w:cs="Times New Roman"/>
          <w:b/>
          <w:i/>
          <w:sz w:val="24"/>
          <w:szCs w:val="24"/>
        </w:rPr>
        <w:t>Bylock Kronoloji Raporu</w:t>
      </w:r>
      <w:r w:rsidR="00184816" w:rsidRPr="00BA7614">
        <w:rPr>
          <w:rFonts w:ascii="Times New Roman" w:hAnsi="Times New Roman" w:cs="Times New Roman"/>
          <w:sz w:val="24"/>
          <w:szCs w:val="24"/>
        </w:rPr>
        <w:t>”</w:t>
      </w:r>
      <w:r w:rsidRPr="00945DAA">
        <w:rPr>
          <w:rFonts w:ascii="Times New Roman" w:hAnsi="Times New Roman" w:cs="Times New Roman"/>
          <w:sz w:val="24"/>
          <w:szCs w:val="24"/>
        </w:rPr>
        <w:t>na yer vermiştir. Rapor</w:t>
      </w:r>
      <w:r w:rsidR="001006DD" w:rsidRPr="00945DAA">
        <w:rPr>
          <w:rFonts w:ascii="Times New Roman" w:hAnsi="Times New Roman" w:cs="Times New Roman"/>
          <w:sz w:val="24"/>
          <w:szCs w:val="24"/>
        </w:rPr>
        <w:t>a</w:t>
      </w:r>
      <w:r w:rsidRPr="00945DAA">
        <w:rPr>
          <w:rFonts w:ascii="Times New Roman" w:hAnsi="Times New Roman" w:cs="Times New Roman"/>
          <w:sz w:val="24"/>
          <w:szCs w:val="24"/>
        </w:rPr>
        <w:t xml:space="preserve"> </w:t>
      </w:r>
      <w:r w:rsidR="001006DD" w:rsidRPr="00945DAA">
        <w:rPr>
          <w:rFonts w:ascii="Times New Roman" w:hAnsi="Times New Roman" w:cs="Times New Roman"/>
          <w:sz w:val="24"/>
          <w:szCs w:val="24"/>
        </w:rPr>
        <w:t>göre</w:t>
      </w:r>
      <w:r w:rsidRPr="00945DAA">
        <w:rPr>
          <w:rFonts w:ascii="Times New Roman" w:hAnsi="Times New Roman" w:cs="Times New Roman"/>
          <w:sz w:val="24"/>
          <w:szCs w:val="24"/>
        </w:rPr>
        <w:t>;</w:t>
      </w:r>
      <w:r w:rsidR="00184816" w:rsidRPr="00945DAA">
        <w:rPr>
          <w:rFonts w:ascii="Times New Roman" w:hAnsi="Times New Roman" w:cs="Times New Roman"/>
          <w:sz w:val="24"/>
          <w:szCs w:val="24"/>
        </w:rPr>
        <w:t xml:space="preserve"> Bylock </w:t>
      </w:r>
      <w:r w:rsidR="009E2E3B" w:rsidRPr="00945DAA">
        <w:rPr>
          <w:rFonts w:ascii="Times New Roman" w:hAnsi="Times New Roman" w:cs="Times New Roman"/>
          <w:sz w:val="24"/>
          <w:szCs w:val="24"/>
        </w:rPr>
        <w:t>verileri</w:t>
      </w:r>
      <w:r w:rsidRPr="00945DAA">
        <w:rPr>
          <w:rFonts w:ascii="Times New Roman" w:hAnsi="Times New Roman" w:cs="Times New Roman"/>
          <w:sz w:val="24"/>
          <w:szCs w:val="24"/>
        </w:rPr>
        <w:t xml:space="preserve">nin imajı </w:t>
      </w:r>
      <w:r w:rsidR="00184816" w:rsidRPr="00945DAA">
        <w:rPr>
          <w:rFonts w:ascii="Times New Roman" w:hAnsi="Times New Roman" w:cs="Times New Roman"/>
          <w:sz w:val="24"/>
          <w:szCs w:val="24"/>
        </w:rPr>
        <w:t>Ankara 4. Sulh Ceza Hakimliğinin 09/12/2016 tarih</w:t>
      </w:r>
      <w:r w:rsidR="009E2E3B" w:rsidRPr="00945DAA">
        <w:rPr>
          <w:rFonts w:ascii="Times New Roman" w:hAnsi="Times New Roman" w:cs="Times New Roman"/>
          <w:sz w:val="24"/>
          <w:szCs w:val="24"/>
        </w:rPr>
        <w:t>li kararı</w:t>
      </w:r>
      <w:r w:rsidR="00A53E81" w:rsidRPr="00945DAA">
        <w:rPr>
          <w:rFonts w:ascii="Times New Roman" w:hAnsi="Times New Roman" w:cs="Times New Roman"/>
          <w:sz w:val="24"/>
          <w:szCs w:val="24"/>
        </w:rPr>
        <w:t>ndan sonra değil</w:t>
      </w:r>
      <w:r w:rsidRPr="00945DAA">
        <w:rPr>
          <w:rFonts w:ascii="Times New Roman" w:hAnsi="Times New Roman" w:cs="Times New Roman"/>
          <w:sz w:val="24"/>
          <w:szCs w:val="24"/>
        </w:rPr>
        <w:t>,</w:t>
      </w:r>
      <w:r w:rsidR="00184816" w:rsidRPr="00945DAA">
        <w:rPr>
          <w:rFonts w:ascii="Times New Roman" w:hAnsi="Times New Roman" w:cs="Times New Roman"/>
          <w:sz w:val="24"/>
          <w:szCs w:val="24"/>
        </w:rPr>
        <w:t xml:space="preserve"> bu tarihten </w:t>
      </w:r>
      <w:r w:rsidR="009E2E3B" w:rsidRPr="00945DAA">
        <w:rPr>
          <w:rFonts w:ascii="Times New Roman" w:hAnsi="Times New Roman" w:cs="Times New Roman"/>
          <w:sz w:val="24"/>
          <w:szCs w:val="24"/>
        </w:rPr>
        <w:t>11 gün önce</w:t>
      </w:r>
      <w:r w:rsidR="00A53E81" w:rsidRPr="00945DAA">
        <w:rPr>
          <w:rFonts w:ascii="Times New Roman" w:hAnsi="Times New Roman" w:cs="Times New Roman"/>
          <w:sz w:val="24"/>
          <w:szCs w:val="24"/>
        </w:rPr>
        <w:t xml:space="preserve"> ve hakim kararı olmadan</w:t>
      </w:r>
      <w:r w:rsidR="009E2E3B" w:rsidRPr="00945DAA">
        <w:rPr>
          <w:rFonts w:ascii="Times New Roman" w:hAnsi="Times New Roman" w:cs="Times New Roman"/>
          <w:sz w:val="24"/>
          <w:szCs w:val="24"/>
        </w:rPr>
        <w:t xml:space="preserve"> </w:t>
      </w:r>
      <w:r w:rsidRPr="00945DAA">
        <w:rPr>
          <w:rFonts w:ascii="Times New Roman" w:hAnsi="Times New Roman" w:cs="Times New Roman"/>
          <w:sz w:val="24"/>
          <w:szCs w:val="24"/>
        </w:rPr>
        <w:t>alın</w:t>
      </w:r>
      <w:r w:rsidR="00A53E81" w:rsidRPr="00945DAA">
        <w:rPr>
          <w:rFonts w:ascii="Times New Roman" w:hAnsi="Times New Roman" w:cs="Times New Roman"/>
          <w:sz w:val="24"/>
          <w:szCs w:val="24"/>
        </w:rPr>
        <w:t xml:space="preserve">mış ve bu suretle Bylock bilgi ve verileri </w:t>
      </w:r>
      <w:r w:rsidRPr="00945DAA">
        <w:rPr>
          <w:rFonts w:ascii="Times New Roman" w:hAnsi="Times New Roman" w:cs="Times New Roman"/>
          <w:sz w:val="24"/>
          <w:szCs w:val="24"/>
        </w:rPr>
        <w:t>orijinalliğini kaybe</w:t>
      </w:r>
      <w:r w:rsidR="00A53E81" w:rsidRPr="00945DAA">
        <w:rPr>
          <w:rFonts w:ascii="Times New Roman" w:hAnsi="Times New Roman" w:cs="Times New Roman"/>
          <w:sz w:val="24"/>
          <w:szCs w:val="24"/>
        </w:rPr>
        <w:t>tmiştir</w:t>
      </w:r>
      <w:r w:rsidR="00184816" w:rsidRPr="00B07167">
        <w:rPr>
          <w:rFonts w:ascii="Times New Roman" w:hAnsi="Times New Roman" w:cs="Times New Roman"/>
          <w:sz w:val="24"/>
          <w:szCs w:val="24"/>
        </w:rPr>
        <w:t>.</w:t>
      </w:r>
      <w:r w:rsidR="00BA7614" w:rsidRPr="00B07167">
        <w:rPr>
          <w:rFonts w:ascii="Times New Roman" w:hAnsi="Times New Roman" w:cs="Times New Roman"/>
          <w:sz w:val="24"/>
          <w:szCs w:val="24"/>
        </w:rPr>
        <w:t xml:space="preserve"> Verilerin, yargı denetimi dışında bırakılarak aylarca MİT’te tutulması bu verilerin güvenliğini de sakatlamıştır.</w:t>
      </w:r>
    </w:p>
    <w:p w14:paraId="301F58C5" w14:textId="77777777" w:rsidR="00CC49E5" w:rsidRPr="00945DAA" w:rsidRDefault="00CC49E5"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d. 2937 Sayılı MİT Kanunu Açısından Kararın Değerlendirilmesi</w:t>
      </w:r>
    </w:p>
    <w:p w14:paraId="3D9D3EC1" w14:textId="77777777" w:rsidR="00CC49E5" w:rsidRPr="00945DAA" w:rsidRDefault="00CC49E5"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Bylock bilgilerinin elde edilme yöntemi CMK’ya aykırı olduğu gibi 2937 sayılı MİT</w:t>
      </w:r>
      <w:r w:rsidR="0005398E" w:rsidRPr="00945DAA">
        <w:rPr>
          <w:rFonts w:ascii="Times New Roman" w:hAnsi="Times New Roman" w:cs="Times New Roman"/>
          <w:sz w:val="24"/>
          <w:szCs w:val="24"/>
        </w:rPr>
        <w:t xml:space="preserve"> K</w:t>
      </w:r>
      <w:r w:rsidRPr="00945DAA">
        <w:rPr>
          <w:rFonts w:ascii="Times New Roman" w:hAnsi="Times New Roman" w:cs="Times New Roman"/>
          <w:sz w:val="24"/>
          <w:szCs w:val="24"/>
        </w:rPr>
        <w:t>anunu</w:t>
      </w:r>
      <w:r w:rsidR="00372542" w:rsidRPr="00945DAA">
        <w:rPr>
          <w:rFonts w:ascii="Times New Roman" w:hAnsi="Times New Roman" w:cs="Times New Roman"/>
          <w:sz w:val="24"/>
          <w:szCs w:val="24"/>
        </w:rPr>
        <w:t>’</w:t>
      </w:r>
      <w:r w:rsidRPr="00945DAA">
        <w:rPr>
          <w:rFonts w:ascii="Times New Roman" w:hAnsi="Times New Roman" w:cs="Times New Roman"/>
          <w:sz w:val="24"/>
          <w:szCs w:val="24"/>
        </w:rPr>
        <w:t xml:space="preserve">na da aykırıdır. 2937 sayılı Kanun’un 4/1-i maddesiyle MİT’e verilen görevin kapsamı, terörle mücadele de dâhil istihbari yöntemlerle elde edilen bilgiler ışığında oluşturulan istihbaratın ilgili kuruluşlara ulaştırılmasından ibarettir ve bu aşamadan sonra konuyla ilgili araştırma ve istihbaratın gereğini yapma görevi ilgili kuruluşlara aittir. </w:t>
      </w:r>
      <w:r w:rsidR="00372542" w:rsidRPr="00945DAA">
        <w:rPr>
          <w:rFonts w:ascii="Times New Roman" w:hAnsi="Times New Roman" w:cs="Times New Roman"/>
          <w:sz w:val="24"/>
          <w:szCs w:val="24"/>
        </w:rPr>
        <w:t xml:space="preserve">Ancak MİT, </w:t>
      </w:r>
      <w:r w:rsidRPr="00945DAA">
        <w:rPr>
          <w:rFonts w:ascii="Times New Roman" w:hAnsi="Times New Roman" w:cs="Times New Roman"/>
          <w:sz w:val="24"/>
          <w:szCs w:val="24"/>
        </w:rPr>
        <w:t xml:space="preserve">Bylock hususunda </w:t>
      </w:r>
      <w:r w:rsidR="00A32E8A" w:rsidRPr="00945DAA">
        <w:rPr>
          <w:rFonts w:ascii="Times New Roman" w:hAnsi="Times New Roman" w:cs="Times New Roman"/>
          <w:sz w:val="24"/>
          <w:szCs w:val="24"/>
        </w:rPr>
        <w:t>aldığı istihbaratı</w:t>
      </w:r>
      <w:r w:rsidRPr="00945DAA">
        <w:rPr>
          <w:rFonts w:ascii="Times New Roman" w:hAnsi="Times New Roman" w:cs="Times New Roman"/>
          <w:sz w:val="24"/>
          <w:szCs w:val="24"/>
        </w:rPr>
        <w:t xml:space="preserve"> Başsavcılığına iletmemiş; görevi olmamasına rağmen bu konuyla ilgili çalışma yaparak adli soruşturma kapsamında elde edilmesi gereken Bylock bilgilerini istihbari çalışma sonucu elde etmiştir.</w:t>
      </w:r>
      <w:r w:rsidR="00AA2885" w:rsidRPr="00945DAA">
        <w:rPr>
          <w:rStyle w:val="DipnotBavurusu"/>
          <w:rFonts w:ascii="Times New Roman" w:hAnsi="Times New Roman"/>
          <w:sz w:val="24"/>
          <w:szCs w:val="24"/>
        </w:rPr>
        <w:footnoteReference w:id="12"/>
      </w:r>
      <w:r w:rsidR="00AA2885" w:rsidRPr="00945DAA">
        <w:rPr>
          <w:rFonts w:ascii="Times New Roman" w:hAnsi="Times New Roman" w:cs="Times New Roman"/>
          <w:sz w:val="24"/>
          <w:szCs w:val="24"/>
        </w:rPr>
        <w:t xml:space="preserve"> </w:t>
      </w:r>
    </w:p>
    <w:p w14:paraId="547D4D00" w14:textId="77777777" w:rsidR="00CC49E5" w:rsidRPr="00945DAA" w:rsidRDefault="00A32E8A"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2937 sayılı </w:t>
      </w:r>
      <w:r w:rsidR="00CC49E5" w:rsidRPr="00945DAA">
        <w:rPr>
          <w:rFonts w:ascii="Times New Roman" w:hAnsi="Times New Roman" w:cs="Times New Roman"/>
          <w:sz w:val="24"/>
          <w:szCs w:val="24"/>
        </w:rPr>
        <w:t>Kanun’un 4/2. maddesindeki MİT’e istihbari görev dışında vazife verilemeyeceğine ilişkin düzenleme karşısında da bu çalışmanın yas</w:t>
      </w:r>
      <w:r w:rsidR="002B4DB9" w:rsidRPr="00945DAA">
        <w:rPr>
          <w:rFonts w:ascii="Times New Roman" w:hAnsi="Times New Roman" w:cs="Times New Roman"/>
          <w:sz w:val="24"/>
          <w:szCs w:val="24"/>
        </w:rPr>
        <w:t>a</w:t>
      </w:r>
      <w:r w:rsidR="00CC49E5" w:rsidRPr="00945DAA">
        <w:rPr>
          <w:rFonts w:ascii="Times New Roman" w:hAnsi="Times New Roman" w:cs="Times New Roman"/>
          <w:sz w:val="24"/>
          <w:szCs w:val="24"/>
        </w:rPr>
        <w:t>l olmadığı anlaşılmaktadır.</w:t>
      </w:r>
    </w:p>
    <w:p w14:paraId="65FFDF80" w14:textId="77777777" w:rsidR="002B4DB9" w:rsidRPr="00945DAA" w:rsidRDefault="002B4DB9"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pacing w:val="-1"/>
          <w:sz w:val="24"/>
          <w:szCs w:val="24"/>
        </w:rPr>
      </w:pPr>
      <w:r w:rsidRPr="00945DAA">
        <w:rPr>
          <w:rFonts w:ascii="Times New Roman" w:hAnsi="Times New Roman" w:cs="Times New Roman"/>
          <w:spacing w:val="-1"/>
          <w:sz w:val="24"/>
          <w:szCs w:val="24"/>
        </w:rPr>
        <w:t xml:space="preserve">Benzer şekilde, 2937 sayılı Kanun’un Ek-1. maddesinde, </w:t>
      </w:r>
      <w:r w:rsidR="00AA2885" w:rsidRPr="00945DAA">
        <w:rPr>
          <w:rFonts w:ascii="Times New Roman" w:hAnsi="Times New Roman" w:cs="Times New Roman"/>
          <w:sz w:val="24"/>
          <w:szCs w:val="24"/>
        </w:rPr>
        <w:t xml:space="preserve">TCK’nın 326 ile 339. maddeleri arasında düzenlenen </w:t>
      </w:r>
      <w:r w:rsidR="00AA2885" w:rsidRPr="00945DAA">
        <w:rPr>
          <w:rFonts w:ascii="Times New Roman" w:hAnsi="Times New Roman" w:cs="Times New Roman"/>
          <w:i/>
          <w:iCs/>
          <w:sz w:val="24"/>
          <w:szCs w:val="24"/>
        </w:rPr>
        <w:t>“casusluk suçları”</w:t>
      </w:r>
      <w:r w:rsidR="00AA2885" w:rsidRPr="00945DAA">
        <w:rPr>
          <w:rFonts w:ascii="Times New Roman" w:hAnsi="Times New Roman" w:cs="Times New Roman"/>
          <w:sz w:val="24"/>
          <w:szCs w:val="24"/>
        </w:rPr>
        <w:t xml:space="preserve"> dışında </w:t>
      </w:r>
      <w:r w:rsidRPr="00945DAA">
        <w:rPr>
          <w:rFonts w:ascii="Times New Roman" w:hAnsi="Times New Roman" w:cs="Times New Roman"/>
          <w:spacing w:val="-1"/>
          <w:sz w:val="24"/>
          <w:szCs w:val="24"/>
        </w:rPr>
        <w:t xml:space="preserve">adli makamlarca MİT’in elindeki bilgi ve belgelerin istenemeyeceği ve bu suçlar dışında MİT’in elindeki bilgi ve belgelerin de adli makamlara verilemeyeceği </w:t>
      </w:r>
      <w:r w:rsidR="00372542" w:rsidRPr="00945DAA">
        <w:rPr>
          <w:rFonts w:ascii="Times New Roman" w:hAnsi="Times New Roman" w:cs="Times New Roman"/>
          <w:spacing w:val="-1"/>
          <w:sz w:val="24"/>
          <w:szCs w:val="24"/>
        </w:rPr>
        <w:t>belirtilmektedir</w:t>
      </w:r>
      <w:r w:rsidR="00116F1D" w:rsidRPr="00945DAA">
        <w:rPr>
          <w:rFonts w:ascii="Times New Roman" w:hAnsi="Times New Roman" w:cs="Times New Roman"/>
          <w:spacing w:val="-1"/>
          <w:sz w:val="24"/>
          <w:szCs w:val="24"/>
        </w:rPr>
        <w:t>. Bununla birlikte Ankara Cumhuriyet</w:t>
      </w:r>
      <w:r w:rsidRPr="00945DAA">
        <w:rPr>
          <w:rFonts w:ascii="Times New Roman" w:hAnsi="Times New Roman" w:cs="Times New Roman"/>
          <w:spacing w:val="-1"/>
          <w:sz w:val="24"/>
          <w:szCs w:val="24"/>
        </w:rPr>
        <w:t xml:space="preserve"> Başsavcılığı, </w:t>
      </w:r>
      <w:r w:rsidR="00AA2885" w:rsidRPr="00945DAA">
        <w:rPr>
          <w:rFonts w:ascii="Times New Roman" w:hAnsi="Times New Roman" w:cs="Times New Roman"/>
          <w:spacing w:val="-1"/>
          <w:sz w:val="24"/>
          <w:szCs w:val="24"/>
        </w:rPr>
        <w:t xml:space="preserve">TCK’nın 314. maddesinde düzenlenen </w:t>
      </w:r>
      <w:r w:rsidRPr="00945DAA">
        <w:rPr>
          <w:rFonts w:ascii="Times New Roman" w:hAnsi="Times New Roman" w:cs="Times New Roman"/>
          <w:i/>
          <w:iCs/>
          <w:spacing w:val="-1"/>
          <w:sz w:val="24"/>
          <w:szCs w:val="24"/>
        </w:rPr>
        <w:t>“</w:t>
      </w:r>
      <w:r w:rsidR="00A32E8A" w:rsidRPr="00945DAA">
        <w:rPr>
          <w:rFonts w:ascii="Times New Roman" w:hAnsi="Times New Roman" w:cs="Times New Roman"/>
          <w:i/>
          <w:iCs/>
          <w:spacing w:val="-1"/>
          <w:sz w:val="24"/>
          <w:szCs w:val="24"/>
        </w:rPr>
        <w:t>silahlı terör örgütü</w:t>
      </w:r>
      <w:r w:rsidR="00AA2885" w:rsidRPr="00945DAA">
        <w:rPr>
          <w:rFonts w:ascii="Times New Roman" w:hAnsi="Times New Roman" w:cs="Times New Roman"/>
          <w:i/>
          <w:iCs/>
          <w:spacing w:val="-1"/>
          <w:sz w:val="24"/>
          <w:szCs w:val="24"/>
        </w:rPr>
        <w:t xml:space="preserve"> </w:t>
      </w:r>
      <w:r w:rsidRPr="00945DAA">
        <w:rPr>
          <w:rFonts w:ascii="Times New Roman" w:hAnsi="Times New Roman" w:cs="Times New Roman"/>
          <w:i/>
          <w:iCs/>
          <w:spacing w:val="-1"/>
          <w:sz w:val="24"/>
          <w:szCs w:val="24"/>
        </w:rPr>
        <w:t>suçu”</w:t>
      </w:r>
      <w:r w:rsidRPr="00945DAA">
        <w:rPr>
          <w:rFonts w:ascii="Times New Roman" w:hAnsi="Times New Roman" w:cs="Times New Roman"/>
          <w:spacing w:val="-1"/>
          <w:sz w:val="24"/>
          <w:szCs w:val="24"/>
        </w:rPr>
        <w:t xml:space="preserve"> kapsamında yürüttüğü soruşturmada MİT’ten Bylock bilgilerini istemiş; MİT de elde ettiği Bylock bilgilerini Başsavcılıkla paylaşmıştır. </w:t>
      </w:r>
      <w:r w:rsidR="00372542" w:rsidRPr="00945DAA">
        <w:rPr>
          <w:rFonts w:ascii="Times New Roman" w:hAnsi="Times New Roman" w:cs="Times New Roman"/>
          <w:spacing w:val="-1"/>
          <w:sz w:val="24"/>
          <w:szCs w:val="24"/>
        </w:rPr>
        <w:t xml:space="preserve">Dolayısıyla, </w:t>
      </w:r>
      <w:r w:rsidRPr="00945DAA">
        <w:rPr>
          <w:rFonts w:ascii="Times New Roman" w:hAnsi="Times New Roman" w:cs="Times New Roman"/>
          <w:spacing w:val="-1"/>
          <w:sz w:val="24"/>
          <w:szCs w:val="24"/>
        </w:rPr>
        <w:t>MİT’in yaptığı çalışmanın 2937 sayılı Kanun’a uygun olduğu kabul edilse bile, bu bilgilerin müsnet suç nedeniyle adli mercilerle paylaşılması bu Kanun gereğince yasaktır.</w:t>
      </w:r>
    </w:p>
    <w:p w14:paraId="242E1DEC" w14:textId="77777777" w:rsidR="002B4DB9" w:rsidRPr="00945DAA" w:rsidRDefault="002B4DB9"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2937 sayıl</w:t>
      </w:r>
      <w:r w:rsidR="00A32E8A" w:rsidRPr="00945DAA">
        <w:rPr>
          <w:rFonts w:ascii="Times New Roman" w:hAnsi="Times New Roman" w:cs="Times New Roman"/>
          <w:sz w:val="24"/>
          <w:szCs w:val="24"/>
        </w:rPr>
        <w:t>ı Kanun’un 6/6. m</w:t>
      </w:r>
      <w:r w:rsidRPr="00945DAA">
        <w:rPr>
          <w:rFonts w:ascii="Times New Roman" w:hAnsi="Times New Roman" w:cs="Times New Roman"/>
          <w:sz w:val="24"/>
          <w:szCs w:val="24"/>
        </w:rPr>
        <w:t xml:space="preserve">addesinde, MİT’in istihbari faaliyet kapsamında elde ettiği bilgilerin </w:t>
      </w:r>
      <w:r w:rsidRPr="00945DAA">
        <w:rPr>
          <w:rFonts w:ascii="Times New Roman" w:hAnsi="Times New Roman" w:cs="Times New Roman"/>
          <w:i/>
          <w:sz w:val="24"/>
          <w:szCs w:val="24"/>
        </w:rPr>
        <w:t>istihbari amaç dışında</w:t>
      </w:r>
      <w:r w:rsidRPr="00945DAA">
        <w:rPr>
          <w:rFonts w:ascii="Times New Roman" w:hAnsi="Times New Roman" w:cs="Times New Roman"/>
          <w:sz w:val="24"/>
          <w:szCs w:val="24"/>
        </w:rPr>
        <w:t xml:space="preserve"> kullanılamayacağı ifade edilmiştir. Burada</w:t>
      </w:r>
      <w:r w:rsidR="00116F1D" w:rsidRPr="00945DAA">
        <w:rPr>
          <w:rFonts w:ascii="Times New Roman" w:hAnsi="Times New Roman" w:cs="Times New Roman"/>
          <w:sz w:val="24"/>
          <w:szCs w:val="24"/>
        </w:rPr>
        <w:t xml:space="preserve"> bahsedilen</w:t>
      </w:r>
      <w:r w:rsidRPr="00945DAA">
        <w:rPr>
          <w:rFonts w:ascii="Times New Roman" w:hAnsi="Times New Roman" w:cs="Times New Roman"/>
          <w:sz w:val="24"/>
          <w:szCs w:val="24"/>
        </w:rPr>
        <w:t>, soruşturma ve kovuşturmalarda kullanılamayacak olan bilgiler</w:t>
      </w:r>
      <w:r w:rsidR="00372542" w:rsidRPr="00945DAA">
        <w:rPr>
          <w:rFonts w:ascii="Times New Roman" w:hAnsi="Times New Roman" w:cs="Times New Roman"/>
          <w:sz w:val="24"/>
          <w:szCs w:val="24"/>
        </w:rPr>
        <w:t>,</w:t>
      </w:r>
      <w:r w:rsidRPr="00945DAA">
        <w:rPr>
          <w:rFonts w:ascii="Times New Roman" w:hAnsi="Times New Roman" w:cs="Times New Roman"/>
          <w:sz w:val="24"/>
          <w:szCs w:val="24"/>
        </w:rPr>
        <w:t xml:space="preserve"> MİT’in görev alanına giren konularda ve hukuka uygun olarak elde ettiği bilgilerdir. Bylock bilgilerinin ise huk</w:t>
      </w:r>
      <w:r w:rsidR="00116F1D" w:rsidRPr="00945DAA">
        <w:rPr>
          <w:rFonts w:ascii="Times New Roman" w:hAnsi="Times New Roman" w:cs="Times New Roman"/>
          <w:sz w:val="24"/>
          <w:szCs w:val="24"/>
        </w:rPr>
        <w:t>uka aykırı olarak ele geçirilmeler</w:t>
      </w:r>
      <w:r w:rsidRPr="00945DAA">
        <w:rPr>
          <w:rFonts w:ascii="Times New Roman" w:hAnsi="Times New Roman" w:cs="Times New Roman"/>
          <w:sz w:val="24"/>
          <w:szCs w:val="24"/>
        </w:rPr>
        <w:t>i nedeniyle zaten delil olarak kullanılabilmesi mümkün değildi.</w:t>
      </w:r>
    </w:p>
    <w:p w14:paraId="183EBA35" w14:textId="77777777" w:rsidR="00CA5A0A" w:rsidRPr="00945DAA" w:rsidRDefault="00372542"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Son olarak, </w:t>
      </w:r>
      <w:r w:rsidR="00CA5A0A" w:rsidRPr="00945DAA">
        <w:rPr>
          <w:rFonts w:ascii="Times New Roman" w:hAnsi="Times New Roman" w:cs="Times New Roman"/>
          <w:sz w:val="24"/>
          <w:szCs w:val="24"/>
        </w:rPr>
        <w:t>CMK’nın 164. maddesinde adli kolluk görevi bulunan kurumları belirtmiş olup, madde gereğince MİT’in adli kolluk görevi, yani delil toplama yetkisi yoktur. Zira MİT’in esas görevi istihbarattır ve istihbarat görevini yaparken elde ettiği bilgiler, CMK da belirtilen usule göre elde edilmesi ve ancak 2937 sayılı Kanun’un Ek-1. maddesinde belirtilen casusluk suçları kapsamında olması halinde y</w:t>
      </w:r>
      <w:r w:rsidR="00116F1D" w:rsidRPr="00945DAA">
        <w:rPr>
          <w:rFonts w:ascii="Times New Roman" w:hAnsi="Times New Roman" w:cs="Times New Roman"/>
          <w:sz w:val="24"/>
          <w:szCs w:val="24"/>
        </w:rPr>
        <w:t>asal delil olarak kullanılabilmektedi</w:t>
      </w:r>
      <w:r w:rsidR="00EE46A4" w:rsidRPr="00945DAA">
        <w:rPr>
          <w:rFonts w:ascii="Times New Roman" w:hAnsi="Times New Roman" w:cs="Times New Roman"/>
          <w:sz w:val="24"/>
          <w:szCs w:val="24"/>
        </w:rPr>
        <w:t>r</w:t>
      </w:r>
      <w:r w:rsidR="00CA5A0A" w:rsidRPr="00945DAA">
        <w:rPr>
          <w:rFonts w:ascii="Times New Roman" w:hAnsi="Times New Roman" w:cs="Times New Roman"/>
          <w:sz w:val="24"/>
          <w:szCs w:val="24"/>
        </w:rPr>
        <w:t>.</w:t>
      </w:r>
    </w:p>
    <w:p w14:paraId="397A4411" w14:textId="77777777" w:rsidR="001240A0" w:rsidRPr="00945DAA" w:rsidRDefault="001240A0"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lastRenderedPageBreak/>
        <w:t xml:space="preserve">e. 6706 Sayılı </w:t>
      </w:r>
      <w:r w:rsidR="00090EFC" w:rsidRPr="00945DAA">
        <w:rPr>
          <w:rFonts w:ascii="Times New Roman" w:hAnsi="Times New Roman" w:cs="Times New Roman"/>
          <w:b/>
          <w:i/>
          <w:sz w:val="24"/>
          <w:szCs w:val="24"/>
        </w:rPr>
        <w:t>Cezai Konularda Uluslararası Adli İş Birliği Kanunu</w:t>
      </w:r>
      <w:r w:rsidR="00090EFC" w:rsidRPr="00945DAA">
        <w:rPr>
          <w:rFonts w:ascii="Times New Roman" w:hAnsi="Times New Roman" w:cs="Times New Roman"/>
          <w:b/>
          <w:sz w:val="24"/>
          <w:szCs w:val="24"/>
        </w:rPr>
        <w:t xml:space="preserve"> </w:t>
      </w:r>
      <w:r w:rsidR="00090EFC" w:rsidRPr="00945DAA">
        <w:rPr>
          <w:rFonts w:ascii="Times New Roman" w:hAnsi="Times New Roman" w:cs="Times New Roman"/>
          <w:b/>
          <w:i/>
          <w:sz w:val="24"/>
          <w:szCs w:val="24"/>
        </w:rPr>
        <w:t xml:space="preserve">Açısından </w:t>
      </w:r>
      <w:r w:rsidRPr="00945DAA">
        <w:rPr>
          <w:rFonts w:ascii="Times New Roman" w:hAnsi="Times New Roman" w:cs="Times New Roman"/>
          <w:b/>
          <w:i/>
          <w:sz w:val="24"/>
          <w:szCs w:val="24"/>
        </w:rPr>
        <w:t>Kararın Değerlendirilmesi</w:t>
      </w:r>
    </w:p>
    <w:p w14:paraId="22921E96" w14:textId="5D4B4BAF" w:rsidR="001240A0" w:rsidRPr="00945DAA" w:rsidRDefault="001240A0"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Bylock uygulaması Litvanya’da </w:t>
      </w:r>
      <w:r w:rsidR="00372542" w:rsidRPr="00945DAA">
        <w:rPr>
          <w:rFonts w:ascii="Times New Roman" w:hAnsi="Times New Roman" w:cs="Times New Roman"/>
          <w:sz w:val="24"/>
          <w:szCs w:val="24"/>
        </w:rPr>
        <w:t>bulunmaktaydı</w:t>
      </w:r>
      <w:r w:rsidRPr="00945DAA">
        <w:rPr>
          <w:rFonts w:ascii="Times New Roman" w:hAnsi="Times New Roman" w:cs="Times New Roman"/>
          <w:sz w:val="24"/>
          <w:szCs w:val="24"/>
        </w:rPr>
        <w:t xml:space="preserve"> ve bu sunucu üzerinde arama, kopyalama ve el koyma işlemi yapılabilmesi ancak 6706 sayılı Kanun ve tarafı olduğumuz uluslararası sözleşmeler gereğince yapılacak adli yardımlaşmayla mümkündü. </w:t>
      </w:r>
      <w:r w:rsidR="00090EFC" w:rsidRPr="00945DAA">
        <w:rPr>
          <w:rFonts w:ascii="Times New Roman" w:hAnsi="Times New Roman" w:cs="Times New Roman"/>
          <w:sz w:val="24"/>
          <w:szCs w:val="24"/>
        </w:rPr>
        <w:t xml:space="preserve">Ayrıca, adli iş birliği yapılması halinde de bu işlemler Litvanya yargı mercilerince yerine </w:t>
      </w:r>
      <w:r w:rsidR="00372542" w:rsidRPr="00945DAA">
        <w:rPr>
          <w:rFonts w:ascii="Times New Roman" w:hAnsi="Times New Roman" w:cs="Times New Roman"/>
          <w:sz w:val="24"/>
          <w:szCs w:val="24"/>
        </w:rPr>
        <w:t>getirilmeliydi</w:t>
      </w:r>
      <w:r w:rsidR="00090EFC" w:rsidRPr="00945DAA">
        <w:rPr>
          <w:rFonts w:ascii="Times New Roman" w:hAnsi="Times New Roman" w:cs="Times New Roman"/>
          <w:sz w:val="24"/>
          <w:szCs w:val="24"/>
        </w:rPr>
        <w:t>. Ancak bu hususların hiçbirine uyulmamıştır.</w:t>
      </w:r>
    </w:p>
    <w:p w14:paraId="5AAC353C" w14:textId="77777777" w:rsidR="00090EFC" w:rsidRPr="00945DAA" w:rsidRDefault="00090EFC"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f. 5809 Sayılı Elektronik Haberleşme Kanunu Açısından Kararın Değerlendirilmesi</w:t>
      </w:r>
    </w:p>
    <w:p w14:paraId="1B832959" w14:textId="77777777" w:rsidR="001240A0" w:rsidRPr="00945DAA" w:rsidRDefault="001F4AF6"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Bylock bilgilerinin elde ediliş yöntemi 5809 sayılı Kanuna da aykırıdır. MİT</w:t>
      </w:r>
      <w:r w:rsidR="00372542" w:rsidRPr="00945DAA">
        <w:rPr>
          <w:rFonts w:ascii="Times New Roman" w:hAnsi="Times New Roman" w:cs="Times New Roman"/>
          <w:sz w:val="24"/>
          <w:szCs w:val="24"/>
        </w:rPr>
        <w:t>,</w:t>
      </w:r>
      <w:r w:rsidRPr="00945DAA">
        <w:rPr>
          <w:rFonts w:ascii="Times New Roman" w:hAnsi="Times New Roman" w:cs="Times New Roman"/>
          <w:sz w:val="24"/>
          <w:szCs w:val="24"/>
        </w:rPr>
        <w:t xml:space="preserve"> ele geçirdiği Bylock sunucusuna bağlanan IP adreslerini tespit etmiş ve 2937 sayılı Kanun’un 6/1-b maddesine (kamu kurum ve kuruluşlarıyla özel kuruluşlardan belge ve bilgi isteyebilme yetkisi) dayanarak bu IP’lerin kimlere ait olduğunu GSM şirketlerinden öğrenmiştir.</w:t>
      </w:r>
    </w:p>
    <w:p w14:paraId="11D5FA0D" w14:textId="77777777" w:rsidR="001F4AF6" w:rsidRPr="00945DAA" w:rsidRDefault="001F4AF6"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A</w:t>
      </w:r>
      <w:r w:rsidR="00090EFC" w:rsidRPr="00945DAA">
        <w:rPr>
          <w:rFonts w:ascii="Times New Roman" w:hAnsi="Times New Roman" w:cs="Times New Roman"/>
          <w:sz w:val="24"/>
          <w:szCs w:val="24"/>
        </w:rPr>
        <w:t xml:space="preserve">nayasa Mahkemesi </w:t>
      </w:r>
      <w:r w:rsidRPr="00945DAA">
        <w:rPr>
          <w:rFonts w:ascii="Times New Roman" w:hAnsi="Times New Roman" w:cs="Times New Roman"/>
          <w:sz w:val="24"/>
          <w:szCs w:val="24"/>
        </w:rPr>
        <w:t xml:space="preserve">konuyla ilgili verdiği kararında, MİT’e </w:t>
      </w:r>
      <w:r w:rsidR="00372542" w:rsidRPr="00945DAA">
        <w:rPr>
          <w:rFonts w:ascii="Times New Roman" w:hAnsi="Times New Roman" w:cs="Times New Roman"/>
          <w:sz w:val="24"/>
          <w:szCs w:val="24"/>
        </w:rPr>
        <w:t xml:space="preserve">tanınan </w:t>
      </w:r>
      <w:r w:rsidRPr="00945DAA">
        <w:rPr>
          <w:rFonts w:ascii="Times New Roman" w:hAnsi="Times New Roman" w:cs="Times New Roman"/>
          <w:sz w:val="24"/>
          <w:szCs w:val="24"/>
        </w:rPr>
        <w:t>bu yetkinin istihbari bilgi toplama ve analiz yapmak için verildiğini</w:t>
      </w:r>
      <w:r w:rsidR="00372542" w:rsidRPr="00945DAA">
        <w:rPr>
          <w:rFonts w:ascii="Times New Roman" w:hAnsi="Times New Roman" w:cs="Times New Roman"/>
          <w:sz w:val="24"/>
          <w:szCs w:val="24"/>
        </w:rPr>
        <w:t>n</w:t>
      </w:r>
      <w:r w:rsidRPr="00945DAA">
        <w:rPr>
          <w:rFonts w:ascii="Times New Roman" w:hAnsi="Times New Roman" w:cs="Times New Roman"/>
          <w:sz w:val="24"/>
          <w:szCs w:val="24"/>
        </w:rPr>
        <w:t xml:space="preserve"> ve adli soruşturma ve kovuşturmayı gerektiren konularda kullanılamayacağını</w:t>
      </w:r>
      <w:r w:rsidR="00372542" w:rsidRPr="00945DAA">
        <w:rPr>
          <w:rFonts w:ascii="Times New Roman" w:hAnsi="Times New Roman" w:cs="Times New Roman"/>
          <w:sz w:val="24"/>
          <w:szCs w:val="24"/>
        </w:rPr>
        <w:t>n altını çizmiştir</w:t>
      </w:r>
      <w:r w:rsidRPr="00945DAA">
        <w:rPr>
          <w:rFonts w:ascii="Times New Roman" w:hAnsi="Times New Roman" w:cs="Times New Roman"/>
          <w:sz w:val="24"/>
          <w:szCs w:val="24"/>
        </w:rPr>
        <w:t>.</w:t>
      </w:r>
      <w:r w:rsidRPr="00945DAA">
        <w:rPr>
          <w:rStyle w:val="DipnotBavurusu"/>
          <w:rFonts w:ascii="Times New Roman" w:hAnsi="Times New Roman"/>
          <w:sz w:val="24"/>
          <w:szCs w:val="24"/>
        </w:rPr>
        <w:footnoteReference w:id="13"/>
      </w:r>
      <w:r w:rsidRPr="00945DAA">
        <w:rPr>
          <w:rFonts w:ascii="Times New Roman" w:hAnsi="Times New Roman" w:cs="Times New Roman"/>
          <w:sz w:val="24"/>
          <w:szCs w:val="24"/>
        </w:rPr>
        <w:t xml:space="preserve"> Ancak, MİT kendisine verilen bu yetkiyi de istihbari faaliyet kapsamında değil, adli soruşturmayı gerektiren bir konuda kullanmıştır.</w:t>
      </w:r>
    </w:p>
    <w:p w14:paraId="58E67979" w14:textId="7E8ED1FE" w:rsidR="00090EFC" w:rsidRPr="00945DAA" w:rsidRDefault="001F4AF6" w:rsidP="006E5730">
      <w:pPr>
        <w:tabs>
          <w:tab w:val="left" w:pos="284"/>
          <w:tab w:val="left" w:pos="567"/>
          <w:tab w:val="left" w:pos="851"/>
          <w:tab w:val="left" w:pos="1134"/>
          <w:tab w:val="left" w:pos="1418"/>
        </w:tabs>
        <w:spacing w:after="0" w:line="240" w:lineRule="auto"/>
        <w:jc w:val="both"/>
        <w:rPr>
          <w:rFonts w:ascii="Times New Roman" w:hAnsi="Times New Roman" w:cs="Times New Roman"/>
          <w:iCs/>
          <w:sz w:val="24"/>
          <w:szCs w:val="24"/>
        </w:rPr>
      </w:pPr>
      <w:r w:rsidRPr="00945DAA">
        <w:rPr>
          <w:rFonts w:ascii="Times New Roman" w:hAnsi="Times New Roman" w:cs="Times New Roman"/>
          <w:sz w:val="24"/>
          <w:szCs w:val="24"/>
        </w:rPr>
        <w:t xml:space="preserve">Ayrıca, </w:t>
      </w:r>
      <w:r w:rsidR="00090EFC" w:rsidRPr="00945DAA">
        <w:rPr>
          <w:rFonts w:ascii="Times New Roman" w:hAnsi="Times New Roman" w:cs="Times New Roman"/>
          <w:color w:val="222222"/>
          <w:sz w:val="24"/>
          <w:szCs w:val="24"/>
          <w:shd w:val="clear" w:color="auto" w:fill="FFFFFF"/>
        </w:rPr>
        <w:t>5809 sayılı Elektronik Haberleşme Kanunu’nun 51/10. maddesinde; kişisel veri niteliğindeki</w:t>
      </w:r>
      <w:r w:rsidR="00090EFC" w:rsidRPr="00945DAA">
        <w:rPr>
          <w:rFonts w:ascii="Times New Roman" w:hAnsi="Times New Roman" w:cs="Times New Roman"/>
          <w:b/>
          <w:color w:val="222222"/>
          <w:sz w:val="24"/>
          <w:szCs w:val="24"/>
          <w:shd w:val="clear" w:color="auto" w:fill="FFFFFF"/>
        </w:rPr>
        <w:t xml:space="preserve"> </w:t>
      </w:r>
      <w:r w:rsidR="00090EFC" w:rsidRPr="00945DAA">
        <w:rPr>
          <w:rFonts w:ascii="Times New Roman" w:hAnsi="Times New Roman" w:cs="Times New Roman"/>
          <w:sz w:val="24"/>
          <w:szCs w:val="24"/>
        </w:rPr>
        <w:t xml:space="preserve">internet trafik verilerinin, haberleşmenin yapıldığı tarihten itibaren bir yıldan az ve iki yıldan fazla olmamak üzere saklanacağı ve saklanma sürelerinin yönetmelikle belirleneceği belirtilmiştir. Bu Kanuna dayanılarak çıkarılan Elektronik Haberleşme Sektöründe Kişisel Verilerin İşlenmesi ve Gizliliğinin Korunması Hakkında Yönetmeliğin </w:t>
      </w:r>
      <w:r w:rsidR="00964146" w:rsidRPr="00945DAA">
        <w:rPr>
          <w:rFonts w:ascii="Times New Roman" w:hAnsi="Times New Roman" w:cs="Times New Roman"/>
          <w:sz w:val="24"/>
          <w:szCs w:val="24"/>
        </w:rPr>
        <w:t xml:space="preserve">14/1 ve Elektronik Haberleşme Sektörüne İlişkin Yetkilendirme Yönetmeliği’nin 19/1-f maddeleri uyarınca da </w:t>
      </w:r>
      <w:r w:rsidR="00090EFC" w:rsidRPr="00945DAA">
        <w:rPr>
          <w:rFonts w:ascii="Times New Roman" w:hAnsi="Times New Roman" w:cs="Times New Roman"/>
          <w:sz w:val="24"/>
          <w:szCs w:val="24"/>
        </w:rPr>
        <w:t xml:space="preserve">GSM şirketleri bu bilgileri en fazla bir yıl, gerçekleşmeyen (0 saniye) aramalara ilişkin kayıtları ise üç ay süreyle saklayabilir (m. 14/1). </w:t>
      </w:r>
      <w:r w:rsidR="00090EFC" w:rsidRPr="00945DAA">
        <w:rPr>
          <w:rFonts w:ascii="Times New Roman" w:hAnsi="Times New Roman" w:cs="Times New Roman"/>
          <w:iCs/>
          <w:sz w:val="24"/>
          <w:szCs w:val="24"/>
        </w:rPr>
        <w:t>Bu sürelerden daha fazla bu bilgilerin saklanması özel hayatın gizliliğinin ihlaline neden olur ve bu bilgileri hukuka aykırı hale getirir.</w:t>
      </w:r>
      <w:r w:rsidR="00090EFC" w:rsidRPr="00945DAA">
        <w:rPr>
          <w:rStyle w:val="DipnotBavurusu"/>
          <w:rFonts w:ascii="Times New Roman" w:hAnsi="Times New Roman"/>
          <w:iCs/>
          <w:sz w:val="24"/>
          <w:szCs w:val="24"/>
        </w:rPr>
        <w:footnoteReference w:id="14"/>
      </w:r>
      <w:r w:rsidR="00090EFC" w:rsidRPr="00945DAA">
        <w:rPr>
          <w:rFonts w:ascii="Times New Roman" w:hAnsi="Times New Roman" w:cs="Times New Roman"/>
          <w:iCs/>
          <w:sz w:val="24"/>
          <w:szCs w:val="24"/>
        </w:rPr>
        <w:t xml:space="preserve"> </w:t>
      </w:r>
    </w:p>
    <w:p w14:paraId="1CCEEC01" w14:textId="77777777" w:rsidR="00090EFC" w:rsidRPr="00945DAA" w:rsidRDefault="00090EFC" w:rsidP="006E5730">
      <w:pPr>
        <w:tabs>
          <w:tab w:val="left" w:pos="284"/>
          <w:tab w:val="left" w:pos="567"/>
          <w:tab w:val="left" w:pos="851"/>
          <w:tab w:val="left" w:pos="1134"/>
          <w:tab w:val="left" w:pos="1418"/>
        </w:tabs>
        <w:spacing w:after="0" w:line="240" w:lineRule="auto"/>
        <w:jc w:val="both"/>
        <w:rPr>
          <w:rFonts w:ascii="Times New Roman" w:hAnsi="Times New Roman" w:cs="Times New Roman"/>
          <w:sz w:val="24"/>
          <w:szCs w:val="24"/>
        </w:rPr>
      </w:pPr>
      <w:r w:rsidRPr="00945DAA">
        <w:rPr>
          <w:rFonts w:ascii="Times New Roman" w:hAnsi="Times New Roman" w:cs="Times New Roman"/>
          <w:iCs/>
          <w:sz w:val="24"/>
          <w:szCs w:val="24"/>
        </w:rPr>
        <w:t>Erişim ve yer sağlayıcıların kişisel veri kabul edilen bu bilgileri tutmaları görevlerinden kaynaklanan yasal bir zorunluluk olup ilgililerin temel hak ve özgürlüklerinin korunması amacını taşır. Dolayısıyla, yasal zorunluluk nedeniyle tutulan bilgiler ancak mevzuatta öngörülen süre kadar saklanabilir. Aksi durumun</w:t>
      </w:r>
      <w:r w:rsidRPr="00945DAA">
        <w:rPr>
          <w:rFonts w:ascii="Times New Roman" w:hAnsi="Times New Roman" w:cs="Times New Roman"/>
          <w:i/>
          <w:iCs/>
          <w:sz w:val="24"/>
          <w:szCs w:val="24"/>
        </w:rPr>
        <w:t xml:space="preserve"> </w:t>
      </w:r>
      <w:r w:rsidRPr="00945DAA">
        <w:rPr>
          <w:rFonts w:ascii="Times New Roman" w:hAnsi="Times New Roman" w:cs="Times New Roman"/>
          <w:iCs/>
          <w:sz w:val="24"/>
          <w:szCs w:val="24"/>
        </w:rPr>
        <w:t>kabulü, verilmeyen bir yetkinin keyfi olarak erişim ve yer sağlayıcılar tarafından kullanılması anlamına gelir ki bu durum hukuka aykırıdır.</w:t>
      </w:r>
    </w:p>
    <w:p w14:paraId="4EAFC00B" w14:textId="481AE845" w:rsidR="001F4AF6" w:rsidRPr="00945DAA" w:rsidRDefault="008101F7" w:rsidP="006E5730">
      <w:pPr>
        <w:tabs>
          <w:tab w:val="left" w:pos="284"/>
          <w:tab w:val="left" w:pos="560"/>
          <w:tab w:val="left" w:pos="851"/>
          <w:tab w:val="left" w:pos="1120"/>
          <w:tab w:val="left" w:pos="1418"/>
        </w:tabs>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Mevzuattaki bu açık hükümlere rağmen; 5809 sayılı Yasada BTK’ya verilmiş bir yetki olmamasına rağmen, BTK’nın kişisel veri niteliğinde olan ve yasal süresi geçmiş internet trafik kayıtlarını fiilen sakladığı anlaşılmaktadır. </w:t>
      </w:r>
      <w:r w:rsidR="00372542" w:rsidRPr="00945DAA">
        <w:rPr>
          <w:rFonts w:ascii="Times New Roman" w:hAnsi="Times New Roman" w:cs="Times New Roman"/>
          <w:spacing w:val="-1"/>
          <w:sz w:val="24"/>
          <w:szCs w:val="24"/>
        </w:rPr>
        <w:t>Bu</w:t>
      </w:r>
      <w:r w:rsidR="00090EFC" w:rsidRPr="00945DAA">
        <w:rPr>
          <w:rFonts w:ascii="Times New Roman" w:hAnsi="Times New Roman" w:cs="Times New Roman"/>
          <w:spacing w:val="-1"/>
          <w:sz w:val="24"/>
          <w:szCs w:val="24"/>
        </w:rPr>
        <w:t xml:space="preserve"> kayıtlar yargılama makamlarına sunulmakta, bunu yapan kişi ve kurumlar hakkında hiçbir cezai takibatın yapılmamakta, bu şekilde sunulan kayıtların hukuka aykırılık oluşturduğu mahkemeler tarafından dikkate alınmamakta, hukuka aykırı bu bilgiler yargılamalara esas alınmakta ve dosyalara konulmak suretiyle alenileştirilmektedir.</w:t>
      </w:r>
    </w:p>
    <w:p w14:paraId="4767429B" w14:textId="77777777" w:rsidR="001F4AF6" w:rsidRPr="00945DAA" w:rsidRDefault="00090EFC"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g</w:t>
      </w:r>
      <w:r w:rsidR="001F4AF6" w:rsidRPr="00945DAA">
        <w:rPr>
          <w:rFonts w:ascii="Times New Roman" w:hAnsi="Times New Roman" w:cs="Times New Roman"/>
          <w:b/>
          <w:i/>
          <w:sz w:val="24"/>
          <w:szCs w:val="24"/>
        </w:rPr>
        <w:t>. Sonuç</w:t>
      </w:r>
    </w:p>
    <w:p w14:paraId="5F7321A1" w14:textId="77777777" w:rsidR="001F4AF6" w:rsidRPr="00945DAA" w:rsidRDefault="001F4AF6"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pacing w:val="-2"/>
          <w:sz w:val="24"/>
          <w:szCs w:val="24"/>
        </w:rPr>
        <w:t>Anayasa’nın 38/6. maddesinde, kanuna aykırı elde edilmiş bulguların delil olarak kabul edilemeyeceği; CMK’nın 206/2-a maddesinde de ortaya konulması istenen bir delilin kanuna aykırı olarak elde edilmesi halinde reddolunacağı kurala bağlanmıştır.</w:t>
      </w:r>
      <w:r w:rsidR="0005398E" w:rsidRPr="00945DAA">
        <w:rPr>
          <w:rFonts w:ascii="Times New Roman" w:hAnsi="Times New Roman" w:cs="Times New Roman"/>
          <w:spacing w:val="-2"/>
          <w:sz w:val="24"/>
          <w:szCs w:val="24"/>
        </w:rPr>
        <w:t xml:space="preserve"> </w:t>
      </w:r>
      <w:r w:rsidRPr="00945DAA">
        <w:rPr>
          <w:rFonts w:ascii="Times New Roman" w:hAnsi="Times New Roman" w:cs="Times New Roman"/>
          <w:sz w:val="24"/>
          <w:szCs w:val="24"/>
        </w:rPr>
        <w:t>Yargıtay Ceza Genel Kurulu konuyla ilgili verdiği kararlarında, hakim kararı olmadan gerçekleştirilen aramalar neticesinde elde edilen delillerin hukuka aykırı olduğunu ve hükme esas alınamayacağını,</w:t>
      </w:r>
      <w:r w:rsidRPr="00945DAA">
        <w:rPr>
          <w:rStyle w:val="DipnotBavurusu"/>
          <w:rFonts w:ascii="Times New Roman" w:hAnsi="Times New Roman"/>
          <w:spacing w:val="-2"/>
          <w:sz w:val="24"/>
          <w:szCs w:val="24"/>
        </w:rPr>
        <w:footnoteReference w:id="15"/>
      </w:r>
      <w:r w:rsidR="009E68DC" w:rsidRPr="00945DAA">
        <w:rPr>
          <w:rFonts w:ascii="Times New Roman" w:hAnsi="Times New Roman" w:cs="Times New Roman"/>
          <w:sz w:val="24"/>
          <w:szCs w:val="24"/>
        </w:rPr>
        <w:t xml:space="preserve"> AYM </w:t>
      </w:r>
      <w:r w:rsidRPr="00945DAA">
        <w:rPr>
          <w:rFonts w:ascii="Times New Roman" w:hAnsi="Times New Roman" w:cs="Times New Roman"/>
          <w:sz w:val="24"/>
          <w:szCs w:val="24"/>
        </w:rPr>
        <w:t>de hâkim kararı</w:t>
      </w:r>
      <w:r w:rsidR="00116F1D" w:rsidRPr="00945DAA">
        <w:rPr>
          <w:rFonts w:ascii="Times New Roman" w:hAnsi="Times New Roman" w:cs="Times New Roman"/>
          <w:sz w:val="24"/>
          <w:szCs w:val="24"/>
        </w:rPr>
        <w:t xml:space="preserve"> ve Cumhuriyet</w:t>
      </w:r>
      <w:r w:rsidRPr="00945DAA">
        <w:rPr>
          <w:rFonts w:ascii="Times New Roman" w:hAnsi="Times New Roman" w:cs="Times New Roman"/>
          <w:sz w:val="24"/>
          <w:szCs w:val="24"/>
        </w:rPr>
        <w:t xml:space="preserve"> savcısının yazılı emri olmadan yapılan arama sonucu elde edilen delillere dayanılarak hüküm kurulmasının adil yargılanma hakkının ihlali olduğunu belirtmiştir.</w:t>
      </w:r>
      <w:r w:rsidRPr="00945DAA">
        <w:rPr>
          <w:rFonts w:ascii="Times New Roman" w:hAnsi="Times New Roman" w:cs="Times New Roman"/>
          <w:sz w:val="24"/>
          <w:szCs w:val="24"/>
          <w:vertAlign w:val="superscript"/>
        </w:rPr>
        <w:footnoteReference w:id="16"/>
      </w:r>
    </w:p>
    <w:p w14:paraId="5EDDF7DA" w14:textId="64B28106" w:rsidR="009E68DC" w:rsidRPr="00945DAA" w:rsidRDefault="009E68DC"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Yargıtay 16. Ceza Dairesi’nin Ergenekon davası olarak bilinen dosyayı bozma gerekçesinde, CMK’nın 134. maddesinde düzenlenen bilişim sistemlerinde aramanın ancak </w:t>
      </w:r>
      <w:r w:rsidR="00BA7614">
        <w:rPr>
          <w:rFonts w:ascii="Times New Roman" w:hAnsi="Times New Roman" w:cs="Times New Roman"/>
          <w:sz w:val="24"/>
          <w:szCs w:val="24"/>
        </w:rPr>
        <w:t>bu hususta alınmış</w:t>
      </w:r>
      <w:r w:rsidR="00BA7614" w:rsidRPr="00945DAA">
        <w:rPr>
          <w:rFonts w:ascii="Times New Roman" w:hAnsi="Times New Roman" w:cs="Times New Roman"/>
          <w:sz w:val="24"/>
          <w:szCs w:val="24"/>
        </w:rPr>
        <w:t xml:space="preserve"> </w:t>
      </w:r>
      <w:r w:rsidRPr="00945DAA">
        <w:rPr>
          <w:rFonts w:ascii="Times New Roman" w:hAnsi="Times New Roman" w:cs="Times New Roman"/>
          <w:sz w:val="24"/>
          <w:szCs w:val="24"/>
        </w:rPr>
        <w:t xml:space="preserve">bir hakim kararıyla mümkün olduğunun altı </w:t>
      </w:r>
      <w:r w:rsidR="00116F1D" w:rsidRPr="00945DAA">
        <w:rPr>
          <w:rFonts w:ascii="Times New Roman" w:hAnsi="Times New Roman" w:cs="Times New Roman"/>
          <w:sz w:val="24"/>
          <w:szCs w:val="24"/>
        </w:rPr>
        <w:t>çizilmiştir.</w:t>
      </w:r>
    </w:p>
    <w:p w14:paraId="047A4249" w14:textId="02CCE1F3" w:rsidR="009E68DC" w:rsidRDefault="009E68DC"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lastRenderedPageBreak/>
        <w:t xml:space="preserve">Yukarıda açıklanan nedenlerle, Bylock verilerin ele geçirilmesinde yasal şartlara uyulmadığından; bu veriler </w:t>
      </w:r>
      <w:r w:rsidR="009601F7" w:rsidRPr="00945DAA">
        <w:rPr>
          <w:rFonts w:ascii="Times New Roman" w:hAnsi="Times New Roman" w:cs="Times New Roman"/>
          <w:sz w:val="24"/>
          <w:szCs w:val="24"/>
        </w:rPr>
        <w:t>yasak delildir</w:t>
      </w:r>
      <w:r w:rsidRPr="00945DAA">
        <w:rPr>
          <w:rFonts w:ascii="Times New Roman" w:hAnsi="Times New Roman" w:cs="Times New Roman"/>
          <w:sz w:val="24"/>
          <w:szCs w:val="24"/>
        </w:rPr>
        <w:t xml:space="preserve"> ve yargılamalarda kullanılamaz. Bu hukuka aykırılık, </w:t>
      </w:r>
      <w:r w:rsidR="00372542" w:rsidRPr="00945DAA">
        <w:rPr>
          <w:rFonts w:ascii="Times New Roman" w:hAnsi="Times New Roman" w:cs="Times New Roman"/>
          <w:sz w:val="24"/>
          <w:szCs w:val="24"/>
        </w:rPr>
        <w:t>bahse konu</w:t>
      </w:r>
      <w:r w:rsidRPr="00945DAA">
        <w:rPr>
          <w:rFonts w:ascii="Times New Roman" w:hAnsi="Times New Roman" w:cs="Times New Roman"/>
          <w:sz w:val="24"/>
          <w:szCs w:val="24"/>
        </w:rPr>
        <w:t xml:space="preserve"> verilere dayanarak başlatılan bütün soruşturma işlemlerini, tanık vb. delileri de hukuka aykırı</w:t>
      </w:r>
      <w:r w:rsidR="009601F7" w:rsidRPr="00945DAA">
        <w:rPr>
          <w:rFonts w:ascii="Times New Roman" w:hAnsi="Times New Roman" w:cs="Times New Roman"/>
          <w:sz w:val="24"/>
          <w:szCs w:val="24"/>
        </w:rPr>
        <w:t xml:space="preserve"> hale getirmiştir.</w:t>
      </w:r>
    </w:p>
    <w:p w14:paraId="0904E64C" w14:textId="6E7F7923" w:rsidR="00BA7614" w:rsidRPr="00B07167" w:rsidRDefault="00BA7614"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sz w:val="24"/>
          <w:szCs w:val="24"/>
        </w:rPr>
      </w:pPr>
      <w:r w:rsidRPr="00B07167">
        <w:rPr>
          <w:rFonts w:ascii="Times New Roman" w:hAnsi="Times New Roman" w:cs="Times New Roman"/>
          <w:sz w:val="24"/>
          <w:szCs w:val="24"/>
        </w:rPr>
        <w:t>Ayrıca, bilirkişi incelemesi yaptırılmasına ve Bylock verilerinin tarafımıza verilmesine ilişkin talepler silahların eşitliği ve çelişmeli yargılama ilkesine aykırı olarak reddedilmiştir. Suçun unsurlarının varlığı araştırılmadan ve Bylock kullanmak suçun unsuru gibi kabul edilerek yapılan otomatik cezalandırmalar, suç ve cezaların yasallığı ilkesine açıkça aykırıdır.</w:t>
      </w:r>
    </w:p>
    <w:p w14:paraId="283E9105" w14:textId="3BAA485D" w:rsidR="000A7B71" w:rsidRPr="00945DAA" w:rsidRDefault="00B90C34"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w:t>
      </w:r>
      <w:r w:rsidR="000A7B71" w:rsidRPr="00945DAA">
        <w:rPr>
          <w:rFonts w:ascii="Times New Roman" w:eastAsia="Times New Roman" w:hAnsi="Times New Roman" w:cs="Times New Roman"/>
          <w:b/>
          <w:bCs/>
          <w:sz w:val="24"/>
          <w:szCs w:val="24"/>
          <w:lang w:eastAsia="tr-TR"/>
        </w:rPr>
        <w:t>) İtirafçı Beyanlarının Mahkumiyete Esas Alınması</w:t>
      </w:r>
    </w:p>
    <w:p w14:paraId="034E2CA9" w14:textId="77777777" w:rsidR="000A7B71" w:rsidRPr="00945DAA" w:rsidRDefault="000A7B71" w:rsidP="006E5730">
      <w:pPr>
        <w:tabs>
          <w:tab w:val="left" w:pos="284"/>
          <w:tab w:val="left" w:pos="567"/>
          <w:tab w:val="left" w:pos="851"/>
          <w:tab w:val="left" w:pos="1134"/>
          <w:tab w:val="left" w:pos="1418"/>
        </w:tabs>
        <w:spacing w:after="0" w:line="240" w:lineRule="auto"/>
        <w:jc w:val="both"/>
        <w:rPr>
          <w:rFonts w:ascii="Times New Roman" w:hAnsi="Times New Roman" w:cs="Times New Roman"/>
          <w:sz w:val="24"/>
          <w:szCs w:val="24"/>
        </w:rPr>
      </w:pPr>
      <w:r w:rsidRPr="00945DAA">
        <w:rPr>
          <w:rFonts w:ascii="Times New Roman" w:hAnsi="Times New Roman" w:cs="Times New Roman"/>
          <w:spacing w:val="-1"/>
          <w:sz w:val="24"/>
          <w:szCs w:val="24"/>
        </w:rPr>
        <w:t>Mahkeme</w:t>
      </w:r>
      <w:r w:rsidRPr="00945DAA">
        <w:rPr>
          <w:rFonts w:ascii="Times New Roman" w:hAnsi="Times New Roman" w:cs="Times New Roman"/>
          <w:sz w:val="24"/>
          <w:szCs w:val="24"/>
        </w:rPr>
        <w:t>, itirafçı tanık/itirafçı gizli tanık beyanları</w:t>
      </w:r>
      <w:r w:rsidR="00C16C72" w:rsidRPr="00945DAA">
        <w:rPr>
          <w:rFonts w:ascii="Times New Roman" w:hAnsi="Times New Roman" w:cs="Times New Roman"/>
          <w:sz w:val="24"/>
          <w:szCs w:val="24"/>
        </w:rPr>
        <w:t>nı</w:t>
      </w:r>
      <w:r w:rsidRPr="00945DAA">
        <w:rPr>
          <w:rFonts w:ascii="Times New Roman" w:hAnsi="Times New Roman" w:cs="Times New Roman"/>
          <w:sz w:val="24"/>
          <w:szCs w:val="24"/>
        </w:rPr>
        <w:t xml:space="preserve"> silahlı terör örgütü üyeliğinden mahkum edilme</w:t>
      </w:r>
      <w:r w:rsidR="00C16C72" w:rsidRPr="00945DAA">
        <w:rPr>
          <w:rFonts w:ascii="Times New Roman" w:hAnsi="Times New Roman" w:cs="Times New Roman"/>
          <w:sz w:val="24"/>
          <w:szCs w:val="24"/>
        </w:rPr>
        <w:t>me gerekçe yapmıştı</w:t>
      </w:r>
      <w:r w:rsidRPr="00945DAA">
        <w:rPr>
          <w:rFonts w:ascii="Times New Roman" w:hAnsi="Times New Roman" w:cs="Times New Roman"/>
          <w:sz w:val="24"/>
          <w:szCs w:val="24"/>
        </w:rPr>
        <w:t>r.</w:t>
      </w:r>
    </w:p>
    <w:p w14:paraId="6913F994" w14:textId="786944DA" w:rsidR="000A7B71" w:rsidRPr="00945DAA" w:rsidRDefault="000A7B71" w:rsidP="006E5730">
      <w:pPr>
        <w:tabs>
          <w:tab w:val="left" w:pos="284"/>
          <w:tab w:val="left" w:pos="567"/>
          <w:tab w:val="left" w:pos="851"/>
          <w:tab w:val="left" w:pos="1134"/>
          <w:tab w:val="left" w:pos="1418"/>
        </w:tabs>
        <w:spacing w:after="0" w:line="240" w:lineRule="auto"/>
        <w:jc w:val="both"/>
        <w:rPr>
          <w:rFonts w:ascii="Times New Roman" w:hAnsi="Times New Roman" w:cs="Times New Roman"/>
          <w:sz w:val="24"/>
          <w:szCs w:val="24"/>
        </w:rPr>
      </w:pPr>
      <w:r w:rsidRPr="00945DAA">
        <w:rPr>
          <w:rFonts w:ascii="Times New Roman" w:hAnsi="Times New Roman" w:cs="Times New Roman"/>
          <w:iCs/>
          <w:sz w:val="24"/>
          <w:szCs w:val="24"/>
        </w:rPr>
        <w:t xml:space="preserve">Bir ifadenin </w:t>
      </w:r>
      <w:r w:rsidRPr="00945DAA">
        <w:rPr>
          <w:rFonts w:ascii="Times New Roman" w:hAnsi="Times New Roman" w:cs="Times New Roman"/>
          <w:i/>
          <w:iCs/>
          <w:sz w:val="24"/>
          <w:szCs w:val="24"/>
        </w:rPr>
        <w:t>“beyan delili”</w:t>
      </w:r>
      <w:r w:rsidRPr="00945DAA">
        <w:rPr>
          <w:rFonts w:ascii="Times New Roman" w:hAnsi="Times New Roman" w:cs="Times New Roman"/>
          <w:iCs/>
          <w:sz w:val="24"/>
          <w:szCs w:val="24"/>
        </w:rPr>
        <w:t xml:space="preserve"> kabul edilmesi, yasalarda belirlenen usule göre elde edilmesine bağlıdır. Bu usule uyulmadan, örneğin yetkili olmayan kişilerce alınan ifadeler beyan delili değil, ancak belirti delili olarak kabul edilebilir. </w:t>
      </w:r>
      <w:r w:rsidRPr="00945DAA">
        <w:rPr>
          <w:rFonts w:ascii="Times New Roman" w:hAnsi="Times New Roman" w:cs="Times New Roman"/>
          <w:sz w:val="24"/>
          <w:szCs w:val="24"/>
        </w:rPr>
        <w:t>Burada özellikle üzerinde durulması gereken husus, CMK’nın 148. maddesinde belirtilen yasak usullerle elde edilmiş olan ifadelerin özgür irade ve rıza ile verilmiş olsa dahi hiçbir şekilde delil olarak kullanılamamasıdır.</w:t>
      </w:r>
      <w:r w:rsidRPr="00945DAA">
        <w:rPr>
          <w:rStyle w:val="DipnotBavurusu"/>
          <w:rFonts w:ascii="Times New Roman" w:hAnsi="Times New Roman"/>
          <w:sz w:val="24"/>
          <w:szCs w:val="24"/>
        </w:rPr>
        <w:footnoteReference w:id="17"/>
      </w:r>
    </w:p>
    <w:p w14:paraId="3E5A86B9" w14:textId="77777777" w:rsidR="000A7B71" w:rsidRPr="00945DAA" w:rsidRDefault="000A7B71" w:rsidP="006E5730">
      <w:pPr>
        <w:pStyle w:val="DzMetin"/>
        <w:rPr>
          <w:rFonts w:ascii="Times New Roman" w:hAnsi="Times New Roman"/>
          <w:sz w:val="24"/>
          <w:szCs w:val="24"/>
        </w:rPr>
      </w:pPr>
      <w:r w:rsidRPr="00945DAA">
        <w:rPr>
          <w:rFonts w:ascii="Times New Roman" w:hAnsi="Times New Roman"/>
          <w:sz w:val="24"/>
          <w:szCs w:val="24"/>
        </w:rPr>
        <w:t>Sanık kendi aleyhine beyanda bulunabileceği gibi başkaları aleyhine de beyanda bulunabilir. İkinci durumda bu sanıklara itirafçı, bu ifadelere de itirafçı beyanı denir. İtirafçı ifadeleri de bir beyan delilidir</w:t>
      </w:r>
      <w:r w:rsidR="000C5929" w:rsidRPr="00945DAA">
        <w:rPr>
          <w:rFonts w:ascii="Times New Roman" w:hAnsi="Times New Roman"/>
          <w:sz w:val="24"/>
          <w:szCs w:val="24"/>
        </w:rPr>
        <w:t xml:space="preserve"> fakat</w:t>
      </w:r>
      <w:r w:rsidRPr="00945DAA">
        <w:rPr>
          <w:rFonts w:ascii="Times New Roman" w:hAnsi="Times New Roman"/>
          <w:sz w:val="24"/>
          <w:szCs w:val="24"/>
        </w:rPr>
        <w:t xml:space="preserve"> beyan delilleri içinde güven sıralamasında en alt grupta bulunur.</w:t>
      </w:r>
    </w:p>
    <w:p w14:paraId="31EF3D87" w14:textId="77777777" w:rsidR="000A7B71" w:rsidRPr="00945DAA" w:rsidRDefault="000A7B71" w:rsidP="006E5730">
      <w:pPr>
        <w:pStyle w:val="DzMetin"/>
        <w:rPr>
          <w:rFonts w:ascii="Times New Roman" w:hAnsi="Times New Roman"/>
          <w:sz w:val="24"/>
          <w:szCs w:val="24"/>
        </w:rPr>
      </w:pPr>
      <w:r w:rsidRPr="00945DAA">
        <w:rPr>
          <w:rFonts w:ascii="Times New Roman" w:hAnsi="Times New Roman"/>
          <w:sz w:val="24"/>
          <w:szCs w:val="24"/>
        </w:rPr>
        <w:t>Tarafsız tanık olarak kabul edilen kişiler, yargılamanın sonucundan hiçbir şekilde etkilenmeyen, olayla ilgisi olmayan, sanık veya mağdurla bağlantısı bulunmayan kişilerdir. Oysa sanık ve mağdur, verilecek karardan bizzat etkilenecek kişilerdir ve bu nedenle beyanlarına daha az itibar edilir. İtirafçı sanık ise bunun da altındadır. Çünkü kendisi de sanıktır ve başkaları aleyhine vereceği ifadeler sonucunda hiç ceza almama veya daha az ceza alma durumu vardır. Hatta bazı suçlarda olduğu gibi ödül alma hakkına bile sahiptir. Bu nedenle itirafçı beyanları en güvenilmez beyanlardır.</w:t>
      </w:r>
    </w:p>
    <w:p w14:paraId="4218211C" w14:textId="77777777" w:rsidR="000A7B71" w:rsidRPr="00945DAA" w:rsidRDefault="000A7B71" w:rsidP="006E5730">
      <w:pPr>
        <w:pStyle w:val="DzMetin"/>
        <w:rPr>
          <w:rFonts w:ascii="Times New Roman" w:hAnsi="Times New Roman"/>
          <w:iCs/>
          <w:sz w:val="24"/>
          <w:szCs w:val="24"/>
        </w:rPr>
      </w:pPr>
      <w:r w:rsidRPr="00945DAA">
        <w:rPr>
          <w:rFonts w:ascii="Times New Roman" w:hAnsi="Times New Roman"/>
          <w:sz w:val="24"/>
          <w:szCs w:val="24"/>
        </w:rPr>
        <w:t>Sanığın kendi aleyhine verdiği beyanın dahi doğrulanması gerekirken, başkaları aleyhine verilen beyanlarla ilgili daha titiz davranılması gerektiği izahtan varestedir.</w:t>
      </w:r>
      <w:r w:rsidRPr="00945DAA">
        <w:rPr>
          <w:rFonts w:ascii="Times New Roman" w:hAnsi="Times New Roman"/>
          <w:iCs/>
          <w:sz w:val="24"/>
          <w:szCs w:val="24"/>
        </w:rPr>
        <w:t xml:space="preserve"> Yargıtay 16. Ceza Dairesi de konuyla ilgili verdiği bir kararında, itirafçı sanık olup tanık sıfatı ile dinlenen, etkin pişmanlıktan yararlanmak için sanık aleyhine beyanda bulunma hususunda hukuki menfaati olan kişinin anlatımının tek başına hükme esas alınamayacağını belirtmiştir.</w:t>
      </w:r>
      <w:r w:rsidRPr="00945DAA">
        <w:rPr>
          <w:rStyle w:val="DipnotBavurusu"/>
          <w:rFonts w:ascii="Times New Roman" w:hAnsi="Times New Roman"/>
          <w:iCs/>
          <w:sz w:val="24"/>
          <w:szCs w:val="24"/>
        </w:rPr>
        <w:footnoteReference w:id="18"/>
      </w:r>
      <w:r w:rsidR="00C16C72" w:rsidRPr="00945DAA">
        <w:rPr>
          <w:rFonts w:ascii="Times New Roman" w:hAnsi="Times New Roman"/>
          <w:iCs/>
          <w:sz w:val="24"/>
          <w:szCs w:val="24"/>
        </w:rPr>
        <w:t xml:space="preserve"> </w:t>
      </w:r>
    </w:p>
    <w:p w14:paraId="32BB0A70" w14:textId="77777777" w:rsidR="000A7B71" w:rsidRPr="00945DAA" w:rsidRDefault="000A7B71" w:rsidP="006E5730">
      <w:pPr>
        <w:pStyle w:val="DzMetin"/>
        <w:rPr>
          <w:rFonts w:ascii="Times New Roman" w:hAnsi="Times New Roman"/>
          <w:b/>
          <w:sz w:val="24"/>
          <w:szCs w:val="24"/>
        </w:rPr>
      </w:pPr>
      <w:r w:rsidRPr="00945DAA">
        <w:rPr>
          <w:rFonts w:ascii="Times New Roman" w:hAnsi="Times New Roman"/>
          <w:sz w:val="24"/>
          <w:szCs w:val="24"/>
        </w:rPr>
        <w:t xml:space="preserve">Kısaca, maddi gerçeği ortaya çıkarmakla yükümlü olan ceza hâkimi, muhakemeye katılanların iddiaları veya sanığın itirafı ile bağlı olmayıp </w:t>
      </w:r>
      <w:r w:rsidRPr="00BA7614">
        <w:rPr>
          <w:rFonts w:ascii="Times New Roman" w:hAnsi="Times New Roman"/>
          <w:sz w:val="24"/>
          <w:szCs w:val="24"/>
        </w:rPr>
        <w:t>“</w:t>
      </w:r>
      <w:r w:rsidRPr="00945DAA">
        <w:rPr>
          <w:rFonts w:ascii="Times New Roman" w:hAnsi="Times New Roman"/>
          <w:i/>
          <w:sz w:val="24"/>
          <w:szCs w:val="24"/>
        </w:rPr>
        <w:t>beyan</w:t>
      </w:r>
      <w:r w:rsidRPr="00BA7614">
        <w:rPr>
          <w:rFonts w:ascii="Times New Roman" w:hAnsi="Times New Roman"/>
          <w:sz w:val="24"/>
          <w:szCs w:val="24"/>
        </w:rPr>
        <w:t>”</w:t>
      </w:r>
      <w:r w:rsidRPr="00945DAA">
        <w:rPr>
          <w:rFonts w:ascii="Times New Roman" w:hAnsi="Times New Roman"/>
          <w:sz w:val="24"/>
          <w:szCs w:val="24"/>
        </w:rPr>
        <w:t xml:space="preserve"> delilinin mutlaka yan delillerle desteklenmesini aramalıdır ve </w:t>
      </w:r>
      <w:r w:rsidRPr="00945DAA">
        <w:rPr>
          <w:rFonts w:ascii="Times New Roman" w:hAnsi="Times New Roman"/>
          <w:iCs/>
          <w:sz w:val="24"/>
          <w:szCs w:val="24"/>
        </w:rPr>
        <w:t>Yargıtayın da bu hususa ilişkin istikrar kazanmış pek çok kararı vardır.</w:t>
      </w:r>
      <w:r w:rsidRPr="00945DAA">
        <w:rPr>
          <w:rStyle w:val="DipnotBavurusu"/>
          <w:rFonts w:ascii="Times New Roman" w:hAnsi="Times New Roman"/>
          <w:iCs/>
          <w:sz w:val="24"/>
          <w:szCs w:val="24"/>
        </w:rPr>
        <w:footnoteReference w:id="19"/>
      </w:r>
      <w:r w:rsidRPr="00945DAA">
        <w:rPr>
          <w:rFonts w:ascii="Times New Roman" w:hAnsi="Times New Roman"/>
          <w:iCs/>
          <w:sz w:val="24"/>
          <w:szCs w:val="24"/>
        </w:rPr>
        <w:t xml:space="preserve"> </w:t>
      </w:r>
    </w:p>
    <w:p w14:paraId="4C8C274E" w14:textId="77777777" w:rsidR="000A7B71" w:rsidRPr="00945DAA" w:rsidRDefault="000A7B71" w:rsidP="006E5730">
      <w:pPr>
        <w:pStyle w:val="hvl-default"/>
        <w:jc w:val="both"/>
        <w:rPr>
          <w:rFonts w:cs="Times New Roman"/>
          <w:lang w:val="tr-TR"/>
        </w:rPr>
      </w:pPr>
      <w:r w:rsidRPr="00945DAA">
        <w:rPr>
          <w:rFonts w:cs="Times New Roman"/>
          <w:lang w:val="tr-TR"/>
        </w:rPr>
        <w:t xml:space="preserve">Burada Yargıtayın aradığı yan delil başka bir beyan delili değildir. Yani bir beyan delili başka bir beyan delili ile desteklenemez. Yan delil, </w:t>
      </w:r>
      <w:r w:rsidRPr="00945DAA">
        <w:rPr>
          <w:rFonts w:cs="Times New Roman"/>
          <w:i/>
          <w:lang w:val="tr-TR"/>
        </w:rPr>
        <w:t>“belge veya belirti”</w:t>
      </w:r>
      <w:r w:rsidRPr="00945DAA">
        <w:rPr>
          <w:rFonts w:cs="Times New Roman"/>
          <w:lang w:val="tr-TR"/>
        </w:rPr>
        <w:t xml:space="preserve"> delili denilen maddi delildir</w:t>
      </w:r>
      <w:r w:rsidRPr="00945DAA">
        <w:rPr>
          <w:rStyle w:val="DipnotBavurusu"/>
          <w:rFonts w:ascii="Times New Roman" w:hAnsi="Times New Roman"/>
          <w:lang w:val="tr-TR"/>
        </w:rPr>
        <w:footnoteReference w:id="20"/>
      </w:r>
      <w:r w:rsidRPr="00945DAA">
        <w:rPr>
          <w:rFonts w:cs="Times New Roman"/>
          <w:lang w:val="tr-TR"/>
        </w:rPr>
        <w:t xml:space="preserve">. Yani beyan delili mutlaka maddi bir delille doğrulanmalıdır. Ayrıca, sanığa atılı suçun unsurlarını göstermeyen </w:t>
      </w:r>
      <w:r w:rsidR="0072676A" w:rsidRPr="00945DAA">
        <w:rPr>
          <w:rFonts w:cs="Times New Roman"/>
          <w:lang w:val="tr-TR"/>
        </w:rPr>
        <w:t>hususlar (yasal ve rutin faaliyetler</w:t>
      </w:r>
      <w:r w:rsidRPr="00945DAA">
        <w:rPr>
          <w:rFonts w:cs="Times New Roman"/>
          <w:lang w:val="tr-TR"/>
        </w:rPr>
        <w:t xml:space="preserve">) yan delil olarak kabul edilemez. </w:t>
      </w:r>
    </w:p>
    <w:p w14:paraId="4301B483" w14:textId="3D0D4817" w:rsidR="000C5929" w:rsidRPr="00945DAA" w:rsidRDefault="000A7B71" w:rsidP="006E5730">
      <w:pPr>
        <w:pStyle w:val="DzMetin"/>
        <w:rPr>
          <w:rFonts w:ascii="Times New Roman" w:hAnsi="Times New Roman"/>
          <w:sz w:val="24"/>
          <w:szCs w:val="24"/>
        </w:rPr>
      </w:pPr>
      <w:r w:rsidRPr="00945DAA">
        <w:rPr>
          <w:rFonts w:ascii="Times New Roman" w:hAnsi="Times New Roman"/>
          <w:sz w:val="24"/>
          <w:szCs w:val="24"/>
        </w:rPr>
        <w:t xml:space="preserve">Son olarak, bu tür ifadeleri veren itirafçılar dahi </w:t>
      </w:r>
      <w:r w:rsidR="00601898" w:rsidRPr="00945DAA">
        <w:rPr>
          <w:rFonts w:ascii="Times New Roman" w:hAnsi="Times New Roman"/>
          <w:sz w:val="24"/>
          <w:szCs w:val="24"/>
        </w:rPr>
        <w:t>cemaatin</w:t>
      </w:r>
      <w:r w:rsidRPr="00945DAA">
        <w:rPr>
          <w:rFonts w:ascii="Times New Roman" w:hAnsi="Times New Roman"/>
          <w:sz w:val="24"/>
          <w:szCs w:val="24"/>
        </w:rPr>
        <w:t xml:space="preserve"> bir terör örgütü ol</w:t>
      </w:r>
      <w:r w:rsidR="00F01D16" w:rsidRPr="00945DAA">
        <w:rPr>
          <w:rFonts w:ascii="Times New Roman" w:hAnsi="Times New Roman"/>
          <w:sz w:val="24"/>
          <w:szCs w:val="24"/>
        </w:rPr>
        <w:t>madığını</w:t>
      </w:r>
      <w:r w:rsidR="00E82B2D" w:rsidRPr="00945DAA">
        <w:rPr>
          <w:rFonts w:ascii="Times New Roman" w:hAnsi="Times New Roman"/>
          <w:sz w:val="24"/>
          <w:szCs w:val="24"/>
        </w:rPr>
        <w:t>,</w:t>
      </w:r>
      <w:r w:rsidR="00C27768" w:rsidRPr="00945DAA">
        <w:rPr>
          <w:rFonts w:ascii="Times New Roman" w:hAnsi="Times New Roman"/>
          <w:sz w:val="24"/>
          <w:szCs w:val="24"/>
        </w:rPr>
        <w:t xml:space="preserve"> </w:t>
      </w:r>
      <w:r w:rsidR="00E82B2D" w:rsidRPr="00945DAA">
        <w:rPr>
          <w:rFonts w:ascii="Times New Roman" w:hAnsi="Times New Roman"/>
          <w:sz w:val="24"/>
          <w:szCs w:val="24"/>
        </w:rPr>
        <w:t xml:space="preserve">aleyhine ifade verdikleri kişilerin </w:t>
      </w:r>
      <w:r w:rsidR="00601898" w:rsidRPr="00945DAA">
        <w:rPr>
          <w:rFonts w:ascii="Times New Roman" w:hAnsi="Times New Roman"/>
          <w:sz w:val="24"/>
          <w:szCs w:val="24"/>
        </w:rPr>
        <w:t>Yargıtay’ca Cemaatin</w:t>
      </w:r>
      <w:r w:rsidR="00E82B2D" w:rsidRPr="00945DAA">
        <w:rPr>
          <w:rFonts w:ascii="Times New Roman" w:hAnsi="Times New Roman"/>
          <w:sz w:val="24"/>
          <w:szCs w:val="24"/>
        </w:rPr>
        <w:t xml:space="preserve"> amaç suçu kabul edilen darbe teşebbüsünden </w:t>
      </w:r>
      <w:r w:rsidR="00C27768" w:rsidRPr="00945DAA">
        <w:rPr>
          <w:rFonts w:ascii="Times New Roman" w:hAnsi="Times New Roman"/>
          <w:sz w:val="24"/>
          <w:szCs w:val="24"/>
        </w:rPr>
        <w:t>habersiz olduklarını ve suçlamaya dayanak yapılan faaliyetlerin</w:t>
      </w:r>
      <w:r w:rsidRPr="00945DAA">
        <w:rPr>
          <w:rFonts w:ascii="Times New Roman" w:hAnsi="Times New Roman"/>
          <w:sz w:val="24"/>
          <w:szCs w:val="24"/>
        </w:rPr>
        <w:t xml:space="preserve"> bir cemaat faaliyeti olarak bildikleri söylemekteyken, aleyhine ifade ver</w:t>
      </w:r>
      <w:r w:rsidR="0072676A" w:rsidRPr="00945DAA">
        <w:rPr>
          <w:rFonts w:ascii="Times New Roman" w:hAnsi="Times New Roman"/>
          <w:sz w:val="24"/>
          <w:szCs w:val="24"/>
        </w:rPr>
        <w:t>ilen</w:t>
      </w:r>
      <w:r w:rsidRPr="00945DAA">
        <w:rPr>
          <w:rFonts w:ascii="Times New Roman" w:hAnsi="Times New Roman"/>
          <w:sz w:val="24"/>
          <w:szCs w:val="24"/>
        </w:rPr>
        <w:t xml:space="preserve"> kişilerin bunları terör faaliyeti kapsamında yaptıklarını kabul etmek akla ve hukuka aykırıdır. </w:t>
      </w:r>
      <w:r w:rsidR="00601898" w:rsidRPr="00945DAA">
        <w:rPr>
          <w:rFonts w:ascii="Times New Roman" w:hAnsi="Times New Roman"/>
          <w:sz w:val="24"/>
          <w:szCs w:val="24"/>
        </w:rPr>
        <w:t xml:space="preserve">Kaldı ki, ortada ne bir silahlı örgüt ne de örgütsel faaliyet vardır. Yargılama konusu hususlar </w:t>
      </w:r>
      <w:r w:rsidR="00601898" w:rsidRPr="00B07167">
        <w:rPr>
          <w:rFonts w:ascii="Times New Roman" w:hAnsi="Times New Roman"/>
          <w:sz w:val="24"/>
          <w:szCs w:val="24"/>
        </w:rPr>
        <w:t>yasal ve rutin faaliyetler ve cemaat mensubiyetidir</w:t>
      </w:r>
      <w:r w:rsidR="00532172" w:rsidRPr="00B07167">
        <w:rPr>
          <w:rFonts w:ascii="Times New Roman" w:hAnsi="Times New Roman"/>
          <w:sz w:val="24"/>
          <w:szCs w:val="24"/>
        </w:rPr>
        <w:t>. Cemaat mensubiyeti ise kesinlikle suç değildir.</w:t>
      </w:r>
      <w:r w:rsidR="00BA7614" w:rsidRPr="00B07167">
        <w:rPr>
          <w:rFonts w:ascii="Times New Roman" w:hAnsi="Times New Roman"/>
          <w:sz w:val="24"/>
          <w:szCs w:val="24"/>
        </w:rPr>
        <w:t xml:space="preserve"> Yasal ve rutin faaliyetlere işaret eden ve suçun unsurlarına karşılık gelmeyen tanık beyanlarının bir delil değil de suçun unsuru gibi kabul edilerek, yani suçun unsurlarının yerine ikame edilmesi suç ve cezaların yasallığı ilkesine de aykırıdır.</w:t>
      </w:r>
    </w:p>
    <w:p w14:paraId="3376DB29" w14:textId="77777777" w:rsidR="000D2042" w:rsidRPr="00945DAA" w:rsidRDefault="000C5929" w:rsidP="006E5730">
      <w:pPr>
        <w:pStyle w:val="DzMetin"/>
        <w:rPr>
          <w:rFonts w:ascii="Times New Roman" w:hAnsi="Times New Roman"/>
          <w:sz w:val="24"/>
          <w:szCs w:val="24"/>
        </w:rPr>
      </w:pPr>
      <w:r w:rsidRPr="00945DAA">
        <w:rPr>
          <w:rFonts w:ascii="Times New Roman" w:hAnsi="Times New Roman"/>
          <w:sz w:val="24"/>
          <w:szCs w:val="24"/>
        </w:rPr>
        <w:lastRenderedPageBreak/>
        <w:t>Somut yargılamada</w:t>
      </w:r>
      <w:r w:rsidR="000A7B71" w:rsidRPr="00945DAA">
        <w:rPr>
          <w:rFonts w:ascii="Times New Roman" w:hAnsi="Times New Roman"/>
          <w:sz w:val="24"/>
          <w:szCs w:val="24"/>
        </w:rPr>
        <w:t xml:space="preserve">, tanığın itirafçı olduğu ve </w:t>
      </w:r>
      <w:r w:rsidRPr="00945DAA">
        <w:rPr>
          <w:rFonts w:ascii="Times New Roman" w:hAnsi="Times New Roman"/>
          <w:sz w:val="24"/>
          <w:szCs w:val="24"/>
        </w:rPr>
        <w:t xml:space="preserve">suçlamada bulunmakta </w:t>
      </w:r>
      <w:r w:rsidR="000A7B71" w:rsidRPr="00945DAA">
        <w:rPr>
          <w:rFonts w:ascii="Times New Roman" w:hAnsi="Times New Roman"/>
          <w:sz w:val="24"/>
          <w:szCs w:val="24"/>
        </w:rPr>
        <w:t>menfaati olduğu niteliği değerlendirmemiş ve bu kişinin/kişilerin beyanlarına dayalı mahkumiyet hükmü verilmiştir.</w:t>
      </w:r>
      <w:r w:rsidR="000A7B71" w:rsidRPr="00945DAA">
        <w:rPr>
          <w:rStyle w:val="DipnotBavurusu"/>
          <w:rFonts w:ascii="Times New Roman" w:hAnsi="Times New Roman"/>
          <w:sz w:val="24"/>
          <w:szCs w:val="24"/>
        </w:rPr>
        <w:footnoteReference w:id="21"/>
      </w:r>
    </w:p>
    <w:p w14:paraId="71C27800" w14:textId="76FBA67A" w:rsidR="003E7B55" w:rsidRPr="00945DAA" w:rsidRDefault="00B90C34"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4</w:t>
      </w:r>
      <w:r w:rsidR="003E7B55" w:rsidRPr="00945DAA">
        <w:rPr>
          <w:rFonts w:ascii="Times New Roman" w:eastAsia="Times New Roman" w:hAnsi="Times New Roman" w:cs="Times New Roman"/>
          <w:b/>
          <w:bCs/>
          <w:sz w:val="24"/>
          <w:szCs w:val="24"/>
          <w:lang w:eastAsia="tr-TR"/>
        </w:rPr>
        <w:t xml:space="preserve">) </w:t>
      </w:r>
      <w:r w:rsidR="001E574D" w:rsidRPr="001E574D">
        <w:rPr>
          <w:rFonts w:ascii="Times New Roman" w:eastAsia="Times New Roman" w:hAnsi="Times New Roman" w:cs="Times New Roman"/>
          <w:b/>
          <w:bCs/>
          <w:sz w:val="24"/>
          <w:szCs w:val="24"/>
          <w:lang w:eastAsia="tr-TR"/>
        </w:rPr>
        <w:t>Kanunsuz Suç ve Ceza Olmaz İlkesi</w:t>
      </w:r>
    </w:p>
    <w:p w14:paraId="035E3D71" w14:textId="77777777" w:rsidR="001E574D" w:rsidRPr="001E574D" w:rsidRDefault="001E574D" w:rsidP="001E574D">
      <w:pPr>
        <w:shd w:val="clear" w:color="auto" w:fill="FFFFFF"/>
        <w:spacing w:before="120" w:after="0" w:line="240" w:lineRule="auto"/>
        <w:jc w:val="both"/>
        <w:rPr>
          <w:rFonts w:ascii="Times New Roman" w:hAnsi="Times New Roman" w:cs="Times New Roman"/>
          <w:sz w:val="24"/>
          <w:szCs w:val="24"/>
        </w:rPr>
      </w:pPr>
      <w:r w:rsidRPr="001E574D">
        <w:rPr>
          <w:rFonts w:ascii="Times New Roman" w:hAnsi="Times New Roman" w:cs="Times New Roman"/>
          <w:sz w:val="24"/>
          <w:szCs w:val="24"/>
        </w:rPr>
        <w:t>Türk Ceza Kanunu'nun (TCK) 314. maddesinde düzenlenen silahlı örgüt, terör örgütü niteliği taşıdığından Terörle Mücadele Kanunu'nun (TMK) 7/1 ve TCK 314/3 maddeleriyle bağlantılı olarak TCK 220. maddesindeki suç örgütü unsurlarıyla birleşerek oluşur. Bu yapı, Devletin güvenliğine, ülke bütünlüğüne ve Anayasal düzene karşı ağır ve yakın tehlike yaratan oluşumlar olup, tehlike "maddi bir fiil" ve "ciddi" nitelikte olmalıdır. Yargıtay içtihatları, bir yapılanmanın silahlı örgüt olup olmadığını "matuf eylem" (vahim suç) ile belirler; matuf eylem, silahlı mücadelenin başlangıcını gösterir ve güvenlik güçleriyle çatışma, karakol baskını veya öldürme gibi eylemleri kapsar. 2003 TMK değişikliğiyle, terör ve silahlı örgütlerin nihai amaçlarına yönelik suç işlemeleri zorunlu hale gelmiş, bu da matuf suçun kesinleşmiş yargı kararıyla tespitini gerektirir.</w:t>
      </w:r>
    </w:p>
    <w:p w14:paraId="5167CF0C" w14:textId="77777777" w:rsidR="001E574D" w:rsidRPr="001E574D" w:rsidRDefault="001E574D" w:rsidP="001E574D">
      <w:pPr>
        <w:shd w:val="clear" w:color="auto" w:fill="FFFFFF"/>
        <w:spacing w:before="120" w:after="0" w:line="240" w:lineRule="auto"/>
        <w:jc w:val="both"/>
        <w:rPr>
          <w:rFonts w:ascii="Times New Roman" w:hAnsi="Times New Roman" w:cs="Times New Roman"/>
          <w:sz w:val="24"/>
          <w:szCs w:val="24"/>
        </w:rPr>
      </w:pPr>
      <w:r w:rsidRPr="001E574D">
        <w:rPr>
          <w:rFonts w:ascii="Times New Roman" w:hAnsi="Times New Roman" w:cs="Times New Roman"/>
          <w:sz w:val="24"/>
          <w:szCs w:val="24"/>
        </w:rPr>
        <w:t>Yargıtay 9. Ceza Dairesi kararlarında, silahlı örgüt kabulü genellikle ilk matuf eylemden verilen mahkûmiyet hükümlerinin temyiz incelemesinde yapılır; burada yerel mahkemenin "silahlı çete" tespiti tasdik edilir ve vahim eylemler detaylıca listelenir. Başer kararında Yargıtay Ceza Genel Kurulu (CGK), cemaati "anayasal kurumları ele geçirme amacı taşıyan silahlı terör örgütü" olarak nitelendirirken, Emniyet ve TSK'daki yapılanmayı "doğasında var olan cebir ve şiddet yetkisi" ile ilişkilendirmiştir. CGK, cebir-şiddet ve silah kullanımını "ihtimal" düzeyinde yeterli görerek yasayı genişletmiş; örneğin, silah tasarrufu imkânını veya baskı-korkutma yöntemlerini zorunlu fiil yerine potansiyel olarak kabul etmiştir. Ancak karar tarihi itibarıyla, bu unsurları doğrulayan kesinleşmiş mahkûmiyet bulunmamaktadır.</w:t>
      </w:r>
    </w:p>
    <w:p w14:paraId="167EE5A4" w14:textId="77777777" w:rsidR="001E574D" w:rsidRPr="001E574D" w:rsidRDefault="001E574D" w:rsidP="001E574D">
      <w:pPr>
        <w:shd w:val="clear" w:color="auto" w:fill="FFFFFF"/>
        <w:spacing w:before="120" w:after="0" w:line="240" w:lineRule="auto"/>
        <w:jc w:val="both"/>
        <w:rPr>
          <w:rFonts w:ascii="Times New Roman" w:hAnsi="Times New Roman" w:cs="Times New Roman"/>
          <w:sz w:val="24"/>
          <w:szCs w:val="24"/>
        </w:rPr>
      </w:pPr>
      <w:r w:rsidRPr="001E574D">
        <w:rPr>
          <w:rFonts w:ascii="Times New Roman" w:hAnsi="Times New Roman" w:cs="Times New Roman"/>
          <w:sz w:val="24"/>
          <w:szCs w:val="24"/>
        </w:rPr>
        <w:t>CGK, 15 Temmuz 2016 olaylarını geriye dönük esas alarak silahlı örgüt kabulü yapmıştır; ancak suç tarihi 2015 olduğundan bu hukuken geçersizdir, zira ceza yargılaması suç tarihiyle sınırlıdır ve derdest davalar kesinleşmiş gibi yorumlanamaz. Bu yaklaşım masumiyet karinesini ihlal eder. AİHM'in Parmak ve Bakır kararında vurguladığı üzere, yasada olmayan kavramların genişletilmesi öngörülemezlik yaratır; Başer kararında CGK, "potansiyel cebir" ve "silah erişim imkânı" gibi unsurları (Yalçınkaya §161'de belirtilen) yasaya aykırı ekleyerek cemaati silahlı örgüt kabul etmiş, matuf eylem yokluğunda suç unsurlarını bozmuş ve yasaların lehe uygulama ilkesini göz ardı etmiştir.</w:t>
      </w:r>
    </w:p>
    <w:p w14:paraId="1D3C75BC" w14:textId="77777777" w:rsidR="001E574D" w:rsidRPr="001E574D" w:rsidRDefault="001E574D" w:rsidP="001E574D">
      <w:pPr>
        <w:shd w:val="clear" w:color="auto" w:fill="FFFFFF"/>
        <w:spacing w:before="120" w:after="0" w:line="240" w:lineRule="auto"/>
        <w:jc w:val="both"/>
        <w:rPr>
          <w:rFonts w:ascii="Times New Roman" w:hAnsi="Times New Roman" w:cs="Times New Roman"/>
          <w:sz w:val="24"/>
          <w:szCs w:val="24"/>
        </w:rPr>
      </w:pPr>
      <w:r w:rsidRPr="001E574D">
        <w:rPr>
          <w:rFonts w:ascii="Times New Roman" w:hAnsi="Times New Roman" w:cs="Times New Roman"/>
          <w:sz w:val="24"/>
          <w:szCs w:val="24"/>
        </w:rPr>
        <w:t>Başvurucu, Bylock kullanımı, Bank Asya'ya para yatırma, sohbetlere katılma, dernek üyeliği gibi yasal faaliyetler nedeniyle terör örgütü üyeliğinden cezalandırılmış; bunlar şiddeti teşvik etmediği halde suç sayılmıştır. Mahkemeler TCK 314/2'yi öngörülemez yorumlayarak yasal eylemleri cezalandırmış, örgüt hiyerarşisi veya nihai amaç bağlantısını kanıtlamamıştır. AİHM, Yalçınkaya kararında bu maddenin öngörülemez olduğunu ve yasal faaliyetleri suç haline getirdiğini belirtirken, Venedik Komisyonu da maddenin geniş uygulamasını eleştirir; uluslararası sözleşmelere uyması için "devamlılık, çeşitlilik ve yoğunluk" kriterlerinin katı uygulanmasını önerir. Bu kriterler o kadar geniştir ki, cezalandırma uygulayıcıların insafına kalmış, keyfiliği artırmıştır.</w:t>
      </w:r>
    </w:p>
    <w:p w14:paraId="337D66C5" w14:textId="77777777" w:rsidR="001E574D" w:rsidRPr="001E574D" w:rsidRDefault="001E574D" w:rsidP="001E574D">
      <w:pPr>
        <w:shd w:val="clear" w:color="auto" w:fill="FFFFFF"/>
        <w:spacing w:before="120" w:after="0" w:line="240" w:lineRule="auto"/>
        <w:jc w:val="both"/>
        <w:rPr>
          <w:rFonts w:ascii="Times New Roman" w:hAnsi="Times New Roman" w:cs="Times New Roman"/>
          <w:sz w:val="24"/>
          <w:szCs w:val="24"/>
        </w:rPr>
      </w:pPr>
      <w:r w:rsidRPr="001E574D">
        <w:rPr>
          <w:rFonts w:ascii="Times New Roman" w:hAnsi="Times New Roman" w:cs="Times New Roman"/>
          <w:sz w:val="24"/>
          <w:szCs w:val="24"/>
        </w:rPr>
        <w:t>Mahkeme, silahlı terör örgütü üyeliğinden mahkumiyete hükmetmiş fakat silahlı örgüt kabulüyle ilgili kendisi bir değerlendirme yapmayıp Yargıtay’ın hatalarla dolu kararına atıfla yetinmiştir. Ayrıca, hatalı bu kabulle birlikte örgüt üyeliği suçunun örgütün hiyerarşik yapısına dahil olma şeklindeki “maddi unsurunun” ve örgütün niteliğini bilme ve istemeyi içeren “manevi unsurunun” nasıl gerçekleştiğini delillerle ilişkilendirerek göstermemiştir. Dahası manevi unsur bakımından, varsayıma dayalı karar vermiştir. Suçun unsurlarının varlığı araştırılmadan ve bu unsurların gerçekleştiği ortaya konulmadan mahkumiyete hükmedilmesi ise suç ve cezaların yasallığı ilkesinin ihlali sebebidir.</w:t>
      </w:r>
    </w:p>
    <w:p w14:paraId="5B72CD96" w14:textId="77777777" w:rsidR="001E574D" w:rsidRPr="001E574D" w:rsidRDefault="001E574D" w:rsidP="001E574D">
      <w:pPr>
        <w:shd w:val="clear" w:color="auto" w:fill="FFFFFF"/>
        <w:spacing w:before="120" w:after="0" w:line="240" w:lineRule="auto"/>
        <w:jc w:val="both"/>
        <w:rPr>
          <w:rFonts w:ascii="Times New Roman" w:hAnsi="Times New Roman" w:cs="Times New Roman"/>
          <w:sz w:val="24"/>
          <w:szCs w:val="24"/>
        </w:rPr>
      </w:pPr>
      <w:r w:rsidRPr="001E574D">
        <w:rPr>
          <w:rFonts w:ascii="Times New Roman" w:hAnsi="Times New Roman" w:cs="Times New Roman"/>
          <w:sz w:val="24"/>
          <w:szCs w:val="24"/>
        </w:rPr>
        <w:t xml:space="preserve">Bir kişinin silahlı terör örgütü üyesi sayılabilmesi için örgütün hiyerarşisine dahil olması gerekmektedir. Hiyerarşi, örgütteki emir komuta zinciri, alt ve üst olma durumudur. Kişinin örgüt </w:t>
      </w:r>
      <w:r w:rsidRPr="001E574D">
        <w:rPr>
          <w:rFonts w:ascii="Times New Roman" w:hAnsi="Times New Roman" w:cs="Times New Roman"/>
          <w:sz w:val="24"/>
          <w:szCs w:val="24"/>
        </w:rPr>
        <w:lastRenderedPageBreak/>
        <w:t>lehine eylemlerde bulunmasına rağmen örgüt içerisindeki hiyerarşide yeri tespit edilemiyorsa; örgüt üyeliğinden değil, unsurları oluşmuşsa örgüt propagandası veya örgüt üyesi olmamakla birlikte örgüt adına suç işleme gibi suçlardan mahkum edilmektedir. Yargıtay 16. Ceza Dairesinin Ergenekon Davasına ilişkin bozma kararında, hiyerarşik yapının ne olduğu ve mahkemelerin bunu net bir şekilde ortaya koyması gerektiği ifade edilmiştir. Yargıtay kararları uyarınca, örgüt faaliyetlerinin süreklilik, çeşitlilik ve yoğunluk taşıması halinde kişiler hiyerarşik yapıya dahil olmuş, örgütle organik bağ kurmuş sayılırlar ve örgüt üyesi kabul edilirler. Bu üç kriterin "birlikte" gerçekleşmesi aranmaktadır. 15 Temmuz sonrası yargılamalarda, ortada silahlı bir örgüt olmadığı bilindiğinden hiyerarşik yapı somutlaştırılamamakta ve kişilerin bu yapıdaki yeri belirlenmemektedir. Başvuruya konu olayda da hiyerarşik yapı içindeki yerim ne olduğu, bu yapıda hangi birimler olduğu ve bunlar arasında irtibatın nasıl sağlandığı, kimden talimat aldığım ve kimlere talimat verdiğim açıklanamadan örgüt üyesi olarak kabul edildim. Suçun maddi unsuru ortaya konulmadan verilen ceza, suç ve cezaların yasallığı ilkesine açıkça aykırıdır.</w:t>
      </w:r>
    </w:p>
    <w:p w14:paraId="69A2A2A4" w14:textId="77777777" w:rsidR="001E574D" w:rsidRDefault="001E574D" w:rsidP="001E574D">
      <w:pPr>
        <w:shd w:val="clear" w:color="auto" w:fill="FFFFFF"/>
        <w:spacing w:before="120" w:after="0" w:line="240" w:lineRule="auto"/>
        <w:jc w:val="both"/>
        <w:rPr>
          <w:rFonts w:ascii="Times New Roman" w:hAnsi="Times New Roman" w:cs="Times New Roman"/>
          <w:sz w:val="24"/>
          <w:szCs w:val="24"/>
        </w:rPr>
      </w:pPr>
      <w:r w:rsidRPr="001E574D">
        <w:rPr>
          <w:rFonts w:ascii="Times New Roman" w:hAnsi="Times New Roman" w:cs="Times New Roman"/>
          <w:sz w:val="24"/>
          <w:szCs w:val="24"/>
        </w:rPr>
        <w:t xml:space="preserve">Silahlı örgüt üyeliği suçunun manevi unsuru doğrudan kasttır. Yani kişi, bir yapının TCK’nın 314. maddesi kapsamında bir silahlı örgüt olduğunu bilerek ve isteyerek bu yapıya dahil olmalıdır. Suç, ancak doğrudan kast ile işlenebileceğinden ve suçun işlenmesinde dolaylı kast (TCK m. 21/2) yeterli olmadığından; dahil olunan oluşumun silahlı örgüt olabileceğini “öngörmesine rağmen” bu yapı içerisine girilmesi halinde dahi suç oluşmaz. Kişi, bu yapının silahlı örgüt olduğunu kesin olarak bilmeli ve bu mahkemece hiçbir şüpheye yer vermeyecek ve tahmin içermeyecek şekilde kanıtlanmalıdır. Dini bir cemaate veya sivil bir toplum kuruluşuna mensup olduğunu düşüncesiyle bir yapı içine girilmesi durumunda kişinin, TCK’nın 30. maddesinde öngörülen hata halinde bulunduğu kabul edilir ve TCK’nın 314. maddesinden ceza verilemez. </w:t>
      </w:r>
    </w:p>
    <w:p w14:paraId="4079DD07" w14:textId="77777777" w:rsidR="001E574D" w:rsidRDefault="001E574D" w:rsidP="001E574D">
      <w:pPr>
        <w:shd w:val="clear" w:color="auto" w:fill="FFFFFF"/>
        <w:spacing w:before="120" w:after="0" w:line="240" w:lineRule="auto"/>
        <w:jc w:val="both"/>
        <w:rPr>
          <w:rFonts w:ascii="Times New Roman" w:hAnsi="Times New Roman" w:cs="Times New Roman"/>
          <w:sz w:val="24"/>
          <w:szCs w:val="24"/>
        </w:rPr>
      </w:pPr>
      <w:r w:rsidRPr="001E574D">
        <w:rPr>
          <w:rFonts w:ascii="Times New Roman" w:hAnsi="Times New Roman" w:cs="Times New Roman"/>
          <w:sz w:val="24"/>
          <w:szCs w:val="24"/>
        </w:rPr>
        <w:t xml:space="preserve">Ayrıca, Yargıtay’a göre cemaatin nihai amacı, kurucu ve yöneticileri tarafından gizlenmemiş olup herkesçe bilinmemektedir. Yine Yargıtay, bu hareketin nihai amacını kendi mensuplarına dahi açıklamadığını, dini bir cemaat olarak bilinen bu yapının aslında bir terör örgütü olduğunu devlet yetkililerinin bile bilmediğini kabul etmektedir. Bununla birlikte, 15 Temmuz yargılamalarında manevi unsur değerlendirmesi bir karine üzerinden yürütülmektedir. Zira 16. Ceza Dairesi, cemaat içinde “7 katlı piramit” bir yapılanmanın olduğunu kabul etmiştir. Bu piramit doğrultusunda manevi unsur değerlendirmesi yapan Daire, amaç suçu yani darbe teşebbüsünü 6 ve 7. katlarda bulunanlarla ilgili “mutlaka bilir”, 4 ve 5. katlarda bulunanlarla ilgili “kural olarak bilir”, 1 ve 2. katlarda bulunanlarla ilgili de “bilmeyebilir” şeklinde bir ön kabul ve varsayımla hareket etmektedir. Bana isnat edilen eylemlerin tamamı, 15/7/2016 ve Yargıtay’ın </w:t>
      </w:r>
      <w:r>
        <w:rPr>
          <w:rFonts w:ascii="Times New Roman" w:hAnsi="Times New Roman" w:cs="Times New Roman"/>
          <w:sz w:val="24"/>
          <w:szCs w:val="24"/>
        </w:rPr>
        <w:t>Cemaati</w:t>
      </w:r>
      <w:r w:rsidRPr="001E574D">
        <w:rPr>
          <w:rFonts w:ascii="Times New Roman" w:hAnsi="Times New Roman" w:cs="Times New Roman"/>
          <w:sz w:val="24"/>
          <w:szCs w:val="24"/>
        </w:rPr>
        <w:t xml:space="preserve"> silahlı örgüt kabul ettiği yanlış ve hatalarla dolu kararının kesinleşme tarihi olan 26/9/2017’den öncedir. Ancak mahkemeler, bu hatalı kabulden hareketle bile Cemaate isnat edilen “hükümeti ortadan kaldırma” nihai amacını bildiğimi ve istediğimi araştırma gereği duymamışlardır. Bunun sebebi de bu kabulün yanlışlığının anlaşılacak olmasıdır. </w:t>
      </w:r>
    </w:p>
    <w:p w14:paraId="39A627BD" w14:textId="18E91290" w:rsidR="001E574D" w:rsidRDefault="001E574D" w:rsidP="001E574D">
      <w:pPr>
        <w:shd w:val="clear" w:color="auto" w:fill="FFFFFF"/>
        <w:spacing w:before="120" w:after="0" w:line="240" w:lineRule="auto"/>
        <w:jc w:val="both"/>
        <w:rPr>
          <w:rFonts w:ascii="Times New Roman" w:hAnsi="Times New Roman" w:cs="Times New Roman"/>
          <w:sz w:val="24"/>
          <w:szCs w:val="24"/>
        </w:rPr>
      </w:pPr>
      <w:r w:rsidRPr="001E574D">
        <w:rPr>
          <w:rFonts w:ascii="Times New Roman" w:hAnsi="Times New Roman" w:cs="Times New Roman"/>
          <w:sz w:val="24"/>
          <w:szCs w:val="24"/>
        </w:rPr>
        <w:t>Öte yandan, Yargıtay 16. Ceza Dairesinin manevi unsuru varsayıma dayandıran yaklaşımı güncel yargılamalarda kullandığı, ancak başka davalarda daha farklı davrandığı anlaşılmaktadır. Nitekim il emniyet müdürlüğü de yapan Hanefi A. hakkında, bir terör örgütüne üye olmaktan uzun yıllar tutuklu kalmış bir kişiye, onunla ilgili telefon dinleme tedbiri uygulandığını söylemesi nedeniyle verilen silahlı örgüte yardım suçundan ceza verilmiştir. Ancak, onama sonrasında Yargıtay Cumhuriyet Başsavcısının itirazı üzerine dosyayı inceleyen 16. Ceza Dairesi, “suçun manevi unsurunun gerçekleştiğine dair yeterli delil bulunmadığı” gerekçesiyle mahkumiyet hükmünü bozmuştur. Uzun yıllar emniyette ve özellikle istihbarat alanında görev yapan ve bilgi verdiği kişinin geçmişini yakından bilen Hanefi A’nın silahlı terör örgütüne yardım ettiğini bilemeyeceğini, sanığın doğrudan kastla hareket ettiğine dair yeterli delil olmadığını ve bu nedenle suçun manevi unsurunun oluşmadığını belirten Yargıtay, Cemaatin iddia edilen terör örgütü niteliğini bildiğimi ve bunu istediğimi ortaya koyamayan kararı ise onamıştır. Bu durum ise açıkça suç ve cezaların yasallığı ilkesine aykırıdır.</w:t>
      </w:r>
    </w:p>
    <w:p w14:paraId="2DD6E3EA" w14:textId="77777777" w:rsidR="00F06A13" w:rsidRPr="001E574D" w:rsidRDefault="00F06A13" w:rsidP="001E574D">
      <w:pPr>
        <w:shd w:val="clear" w:color="auto" w:fill="FFFFFF"/>
        <w:spacing w:before="120" w:after="0" w:line="240" w:lineRule="auto"/>
        <w:jc w:val="both"/>
        <w:rPr>
          <w:rFonts w:ascii="Times New Roman" w:hAnsi="Times New Roman" w:cs="Times New Roman"/>
          <w:sz w:val="24"/>
          <w:szCs w:val="24"/>
        </w:rPr>
      </w:pPr>
    </w:p>
    <w:p w14:paraId="1530F3DA" w14:textId="23840C33" w:rsidR="00B90C34" w:rsidRDefault="00F06A13" w:rsidP="00B90C34">
      <w:pPr>
        <w:shd w:val="clear" w:color="auto" w:fill="FFFFFF"/>
        <w:spacing w:before="120" w:after="0"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5</w:t>
      </w:r>
      <w:r w:rsidR="00AD23C0" w:rsidRPr="00B07167">
        <w:rPr>
          <w:rFonts w:ascii="Times New Roman" w:eastAsia="Times New Roman" w:hAnsi="Times New Roman" w:cs="Times New Roman"/>
          <w:b/>
          <w:bCs/>
          <w:sz w:val="24"/>
          <w:szCs w:val="24"/>
          <w:lang w:eastAsia="tr-TR"/>
        </w:rPr>
        <w:t xml:space="preserve">) </w:t>
      </w:r>
      <w:r w:rsidRPr="00F06A13">
        <w:rPr>
          <w:rFonts w:ascii="Times New Roman" w:eastAsia="Times New Roman" w:hAnsi="Times New Roman" w:cs="Times New Roman"/>
          <w:b/>
          <w:bCs/>
          <w:sz w:val="24"/>
          <w:szCs w:val="24"/>
          <w:lang w:eastAsia="tr-TR"/>
        </w:rPr>
        <w:t>Hak ve Hürriyetlerin Sınırlandırılması İlkesi (Anayasa m. 13)</w:t>
      </w:r>
    </w:p>
    <w:p w14:paraId="27D7ABBF" w14:textId="77777777" w:rsidR="00F06A13" w:rsidRPr="00F06A13" w:rsidRDefault="00F06A13" w:rsidP="00F06A13">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F06A13">
        <w:rPr>
          <w:rFonts w:ascii="Times New Roman" w:eastAsia="Times New Roman" w:hAnsi="Times New Roman" w:cs="Times New Roman"/>
          <w:bCs/>
          <w:sz w:val="24"/>
          <w:szCs w:val="24"/>
          <w:lang w:eastAsia="tr-TR"/>
        </w:rPr>
        <w:t>AİHS ve Anayasa, devlete temel hak ve özgürlükleri yok etme veya Sözleşme'de öngörülenden daha geniş kısıtlama yetkisi vermez; kısıtlamalar öngörüldükleri amaç dışında uygulanamaz. Bu ilkeler, devletin eylemlerinin meşru sınırlar içinde kalmasını sağlar ve herhangi bir etkinliğin hakları aşan bir şekilde kullanılmasını engeller. İdare, bu yetkileri kötüye kullanarak bireylerin özgürlüklerini keyfi biçimde sınırlayamaz. Bu bağlamda, hak kısıtlamaları yalnızca belirlenmiş amaçlar doğrultusunda ve orantılı olarak uygulanabilir.</w:t>
      </w:r>
    </w:p>
    <w:p w14:paraId="355AD5A5" w14:textId="77777777" w:rsidR="00F06A13" w:rsidRPr="00F06A13" w:rsidRDefault="00F06A13" w:rsidP="00F06A13">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F06A13">
        <w:rPr>
          <w:rFonts w:ascii="Times New Roman" w:eastAsia="Times New Roman" w:hAnsi="Times New Roman" w:cs="Times New Roman"/>
          <w:bCs/>
          <w:sz w:val="24"/>
          <w:szCs w:val="24"/>
          <w:lang w:eastAsia="tr-TR"/>
        </w:rPr>
        <w:t>AİHM'in Demirtaş ve Kavala kararlarında vurgulandığı üzere, idare başvurucu ve benzer kişiler hakkında gizli amaçlarla, politik avantaj sağlamak için yaptırımlar uygulamaktadır. Bu yaptırımlar, gerçek suç karışmasından ziyade politik hedeflere ulaşma ve devlet işleyişinde manevra yapma amacıyla yapılmakta olup, bireyleri hedef alan sistematik bir yaklaşımı yansıtır. İdare, bu şekilde Anayasa'nın hak kısıtlama yetkisini aşarak gizli amaçlara hizmet etmek üzere kötüye kullanmıştır. Bu tür uygulamalar, demokratik ilkelerin ihlalini doğurur.</w:t>
      </w:r>
    </w:p>
    <w:p w14:paraId="4CC4EF4C" w14:textId="55F9A93F" w:rsidR="00F06A13" w:rsidRPr="00F06A13" w:rsidRDefault="00F06A13" w:rsidP="00F06A13">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F06A13">
        <w:rPr>
          <w:rFonts w:ascii="Times New Roman" w:eastAsia="Times New Roman" w:hAnsi="Times New Roman" w:cs="Times New Roman"/>
          <w:bCs/>
          <w:sz w:val="24"/>
          <w:szCs w:val="24"/>
          <w:lang w:eastAsia="tr-TR"/>
        </w:rPr>
        <w:t>Bir milyona varan soruşturma, yüzbinleri aşan işten çıkarma ve milyar dolarlık malvarlıklarına el koyma gibi uygulamalar darbe girişimiyle izah edilemez. Bu eylemler, 9 yılı aşkın süredir devam etmekte ve başvurucuyu doğrudan etkilemektedir. İdare, bu süreçte olağanüstü hal yetkilerini aşarak, darbe bastırma gerekçesini ötesinde bir yok etme politikası izlemiştir. Bu durum, hak ihlallerinin sistematik ve uzun vadeli bir stratejiye dayandığını gösterir.</w:t>
      </w:r>
    </w:p>
    <w:p w14:paraId="3A1D1E29" w14:textId="77777777" w:rsidR="00F06A13" w:rsidRPr="00F06A13" w:rsidRDefault="00F06A13" w:rsidP="00F06A13">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F06A13">
        <w:rPr>
          <w:rFonts w:ascii="Times New Roman" w:eastAsia="Times New Roman" w:hAnsi="Times New Roman" w:cs="Times New Roman"/>
          <w:bCs/>
          <w:sz w:val="24"/>
          <w:szCs w:val="24"/>
          <w:lang w:eastAsia="tr-TR"/>
        </w:rPr>
        <w:t>Devlet, Cemaat mensubu olduklarını iddia ettiği kişilere, sadece düşünce ve inanç temelli sivil toplum aidiyeti nedeniyle ayrımcı muamele uygulamış ve onları yok etmeyi hedefleyerek Sözleşme haklarını kötüye kullanmıştır (AİHS 18. madde ihlali). BM Haksız Tutuklama Çalışma Grubu'nun Mestan Yayman ve Hamza Yaman gibi kararlarında, "FETÖ/PDY" suçlamalarının ayrımcılık temelli ihlallere yol açtığı tespit edilmiştir. Bu ihlaller, bireylerin kimlik aidiyeti nedeniyle hedef alınmasını ve ayrımcı politikaları içermektedir.</w:t>
      </w:r>
    </w:p>
    <w:p w14:paraId="44EE1028" w14:textId="77777777" w:rsidR="00F06A13" w:rsidRPr="00F06A13" w:rsidRDefault="00F06A13" w:rsidP="00F06A13">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F06A13">
        <w:rPr>
          <w:rFonts w:ascii="Times New Roman" w:eastAsia="Times New Roman" w:hAnsi="Times New Roman" w:cs="Times New Roman"/>
          <w:bCs/>
          <w:sz w:val="24"/>
          <w:szCs w:val="24"/>
          <w:lang w:eastAsia="tr-TR"/>
        </w:rPr>
        <w:t>AİHM'in 18. madde kriterleri, kısıtlamaların makul şüpheye dayanmaması ve başvurucuya atılı eylemlerin suç unsuru içermemesi gibi gerekçeleri, Cemaat'e yönelik işlemlerde fazlasıyla mevcuttur. Cemaat mensuplarına yöneltilen ByLock kullanımı, Bank Asya'ya para yatırma, yasal kurumlarda çalışma, sendika/dernek üyeliği, dini sohbetlere katılma gibi iddialar, işlendiği tarihte ve halen yasal olup suç unsuru içermemektedir. Bu eylemler 15 Temmuz 2016 öncesi soruşturma konusu yapılmamış, çünkü tamamen yasaldır ve sadece Cemaat'e özgü olmayıp, AKP ve önceki iktidarlar tarafından teşvik edilmiştir.</w:t>
      </w:r>
    </w:p>
    <w:p w14:paraId="1086F61D" w14:textId="77777777" w:rsidR="00F06A13" w:rsidRPr="00F06A13" w:rsidRDefault="00F06A13" w:rsidP="00F06A13">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F06A13">
        <w:rPr>
          <w:rFonts w:ascii="Times New Roman" w:eastAsia="Times New Roman" w:hAnsi="Times New Roman" w:cs="Times New Roman"/>
          <w:bCs/>
          <w:sz w:val="24"/>
          <w:szCs w:val="24"/>
          <w:lang w:eastAsia="tr-TR"/>
        </w:rPr>
        <w:t>Bu faaliyetler, AİHS'de korunan hakların (özel hayat gizliliği, haberleşme özgürlüğü, din ve ifade özgürlüğü, dernek kurma hakkı) kullanımı niteliğindedir ve olağanüstü hallerde bile dokunulmaz "kanunsuz ceza olmaz" ilkesinin koruması altındadır. Bu eylemlerin suç haline getirilmesi, Sözleşme'nin temel ilkelerini ihlal eder. Ayrıca, bu tür kısıtlamalar, bireylerin yasal faaliyetlerini cezalandırarak öngörülemezlik yaratır.</w:t>
      </w:r>
    </w:p>
    <w:p w14:paraId="21A12F7C" w14:textId="77777777" w:rsidR="00F06A13" w:rsidRPr="00F06A13" w:rsidRDefault="00F06A13" w:rsidP="00F06A13">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F06A13">
        <w:rPr>
          <w:rFonts w:ascii="Times New Roman" w:eastAsia="Times New Roman" w:hAnsi="Times New Roman" w:cs="Times New Roman"/>
          <w:bCs/>
          <w:sz w:val="24"/>
          <w:szCs w:val="24"/>
          <w:lang w:eastAsia="tr-TR"/>
        </w:rPr>
        <w:t>Suçlamaların zamanlaması hukuka aykırılığı ortaya koymakta; atılı eylemler ile tutuklama kararları arasında uzun yıllar geçmiş olup, örneğin Bank Asya'nın faaliyet izni 15 Temmuz sonrası kaldırılmış ve bu tarihe kadar para yatırma suç sayılmamıştır. ByLock ve dini sohbetler gibi faaliyetler kullanım döneminde yasaldı ve toplumun her kesimi tarafından destekleniyordu. Avrupa Konseyi İnsan Hakları Komiseri'nin memorandumunda belirtildiği üzere, bir Türk vatandaşının Cemaat ile ilişki kurmamış olması istisnai bir durumdur. Bu eylemlerin suç haline getirilmesi, keyfi ve ayrımcı bir yaklaşımı yansıtmaktadır.</w:t>
      </w:r>
    </w:p>
    <w:p w14:paraId="162F0A29" w14:textId="52DAAB83" w:rsidR="00F06A13" w:rsidRPr="00F06A13" w:rsidRDefault="00F06A13" w:rsidP="00F06A13">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F06A13">
        <w:rPr>
          <w:rFonts w:ascii="Times New Roman" w:eastAsia="Times New Roman" w:hAnsi="Times New Roman" w:cs="Times New Roman"/>
          <w:bCs/>
          <w:sz w:val="24"/>
          <w:szCs w:val="24"/>
          <w:lang w:eastAsia="tr-TR"/>
        </w:rPr>
        <w:t xml:space="preserve">Cumhurbaşkanı, devlet ve hükümet yetkilileri, 17-25 Aralık 2013 yolsuzluk operasyonlarını "hükümete karşı darbe" olarak niteleyerek Cemaat'i "paralel yapı", "hain" gibi ifadelerle düşman ilan etmiş, hesap sorma ve yok etme amacıyla istiklal mücadelesi başlattıklarını belirtmiştir. Bu söylemler, yargıya talimat verme ve baskı uygulama şeklinde eyleme dönüşmüş; Sulh Ceza Hakimlikleri gibi yapısal değişiklikler yapılmış, yargı bağımsızlığı zedelenmiştir. AKPM raporunda vurgulandığı </w:t>
      </w:r>
      <w:r w:rsidRPr="00F06A13">
        <w:rPr>
          <w:rFonts w:ascii="Times New Roman" w:eastAsia="Times New Roman" w:hAnsi="Times New Roman" w:cs="Times New Roman"/>
          <w:bCs/>
          <w:sz w:val="24"/>
          <w:szCs w:val="24"/>
          <w:lang w:eastAsia="tr-TR"/>
        </w:rPr>
        <w:lastRenderedPageBreak/>
        <w:t>üzere, bu değişiklikler Cemaat ile mücadele için kurulmuş olup, yargı yürütmenin baskısı altında muhaliflere karşı silah olarak kullanılmıştır. AYM, AİHM ve BM kararlarının bile uygulanmaması, bu baskının sonucudur. Aynı eylemler (okullarda eğitim, dernek üyeliği, banka işlemleri, telefon görüşmeleri) Cemaat mensupları için terör delili sayılırken, iktidar mensupları ve diğer kesimlere soruşturma açılmamakta, takipsizlik veya beraat verilmektedir</w:t>
      </w:r>
      <w:r>
        <w:rPr>
          <w:rFonts w:ascii="Times New Roman" w:eastAsia="Times New Roman" w:hAnsi="Times New Roman" w:cs="Times New Roman"/>
          <w:bCs/>
          <w:sz w:val="24"/>
          <w:szCs w:val="24"/>
          <w:lang w:eastAsia="tr-TR"/>
        </w:rPr>
        <w:t>. Bu</w:t>
      </w:r>
      <w:r w:rsidRPr="00F06A13">
        <w:rPr>
          <w:rFonts w:ascii="Times New Roman" w:eastAsia="Times New Roman" w:hAnsi="Times New Roman" w:cs="Times New Roman"/>
          <w:bCs/>
          <w:sz w:val="24"/>
          <w:szCs w:val="24"/>
          <w:lang w:eastAsia="tr-TR"/>
        </w:rPr>
        <w:t xml:space="preserve"> ayrımcılık suç ve cezaların kanuniliği ilkesini ihlal etmektedir. Toplamda, bu uygulamalar</w:t>
      </w:r>
      <w:r>
        <w:rPr>
          <w:rFonts w:ascii="Times New Roman" w:eastAsia="Times New Roman" w:hAnsi="Times New Roman" w:cs="Times New Roman"/>
          <w:bCs/>
          <w:sz w:val="24"/>
          <w:szCs w:val="24"/>
          <w:lang w:eastAsia="tr-TR"/>
        </w:rPr>
        <w:t>, bir insan topluluğunu</w:t>
      </w:r>
      <w:r w:rsidRPr="00F06A13">
        <w:rPr>
          <w:rFonts w:ascii="Times New Roman" w:eastAsia="Times New Roman" w:hAnsi="Times New Roman" w:cs="Times New Roman"/>
          <w:bCs/>
          <w:sz w:val="24"/>
          <w:szCs w:val="24"/>
          <w:lang w:eastAsia="tr-TR"/>
        </w:rPr>
        <w:t xml:space="preserve"> yok etme, intikam alma ve sistemli hak ihlalleri amacıyla yapılmakta olup, </w:t>
      </w:r>
      <w:r>
        <w:rPr>
          <w:rFonts w:ascii="Times New Roman" w:eastAsia="Times New Roman" w:hAnsi="Times New Roman" w:cs="Times New Roman"/>
          <w:bCs/>
          <w:sz w:val="24"/>
          <w:szCs w:val="24"/>
          <w:lang w:eastAsia="tr-TR"/>
        </w:rPr>
        <w:t xml:space="preserve">Anayasa’nın 13 ve </w:t>
      </w:r>
      <w:r w:rsidRPr="00F06A13">
        <w:rPr>
          <w:rFonts w:ascii="Times New Roman" w:eastAsia="Times New Roman" w:hAnsi="Times New Roman" w:cs="Times New Roman"/>
          <w:bCs/>
          <w:sz w:val="24"/>
          <w:szCs w:val="24"/>
          <w:lang w:eastAsia="tr-TR"/>
        </w:rPr>
        <w:t>AİHS</w:t>
      </w:r>
      <w:r>
        <w:rPr>
          <w:rFonts w:ascii="Times New Roman" w:eastAsia="Times New Roman" w:hAnsi="Times New Roman" w:cs="Times New Roman"/>
          <w:bCs/>
          <w:sz w:val="24"/>
          <w:szCs w:val="24"/>
          <w:lang w:eastAsia="tr-TR"/>
        </w:rPr>
        <w:t>’in</w:t>
      </w:r>
      <w:r w:rsidRPr="00F06A13">
        <w:rPr>
          <w:rFonts w:ascii="Times New Roman" w:eastAsia="Times New Roman" w:hAnsi="Times New Roman" w:cs="Times New Roman"/>
          <w:bCs/>
          <w:sz w:val="24"/>
          <w:szCs w:val="24"/>
          <w:lang w:eastAsia="tr-TR"/>
        </w:rPr>
        <w:t xml:space="preserve"> 18. madde ihlalini doğurmaktadır</w:t>
      </w:r>
    </w:p>
    <w:p w14:paraId="7F59EA51" w14:textId="77777777" w:rsidR="00F06A13" w:rsidRPr="00B90C34" w:rsidRDefault="00F06A13" w:rsidP="00B90C34">
      <w:pPr>
        <w:shd w:val="clear" w:color="auto" w:fill="FFFFFF"/>
        <w:spacing w:before="120" w:after="0" w:line="240" w:lineRule="auto"/>
        <w:jc w:val="both"/>
        <w:rPr>
          <w:rFonts w:ascii="Times New Roman" w:eastAsia="Times New Roman" w:hAnsi="Times New Roman" w:cs="Times New Roman"/>
          <w:bCs/>
          <w:sz w:val="24"/>
          <w:szCs w:val="24"/>
          <w:lang w:eastAsia="tr-TR"/>
        </w:rPr>
      </w:pPr>
    </w:p>
    <w:p w14:paraId="6E80D826" w14:textId="64CEEDD9" w:rsidR="00E1705B" w:rsidRPr="00945DAA" w:rsidRDefault="00E1705B" w:rsidP="00B90C34">
      <w:pPr>
        <w:shd w:val="clear" w:color="auto" w:fill="FFFFFF"/>
        <w:spacing w:after="0" w:line="240" w:lineRule="auto"/>
        <w:jc w:val="both"/>
        <w:rPr>
          <w:rFonts w:ascii="Times New Roman" w:hAnsi="Times New Roman" w:cs="Times New Roman"/>
          <w:bCs/>
          <w:sz w:val="24"/>
          <w:szCs w:val="24"/>
        </w:rPr>
      </w:pPr>
    </w:p>
    <w:sectPr w:rsidR="00E1705B" w:rsidRPr="00945DAA" w:rsidSect="006E5730">
      <w:footerReference w:type="default" r:id="rId8"/>
      <w:pgSz w:w="11906" w:h="16838"/>
      <w:pgMar w:top="1276" w:right="991"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89A51" w14:textId="77777777" w:rsidR="00EE122D" w:rsidRDefault="00EE122D" w:rsidP="00374FF4">
      <w:pPr>
        <w:spacing w:after="0" w:line="240" w:lineRule="auto"/>
      </w:pPr>
      <w:r>
        <w:separator/>
      </w:r>
    </w:p>
  </w:endnote>
  <w:endnote w:type="continuationSeparator" w:id="0">
    <w:p w14:paraId="2365CF2B" w14:textId="77777777" w:rsidR="00EE122D" w:rsidRDefault="00EE122D" w:rsidP="0037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ndale Sans UI">
    <w:charset w:val="A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1469"/>
      <w:docPartObj>
        <w:docPartGallery w:val="Page Numbers (Bottom of Page)"/>
        <w:docPartUnique/>
      </w:docPartObj>
    </w:sdtPr>
    <w:sdtContent>
      <w:p w14:paraId="170A9463" w14:textId="77777777" w:rsidR="00372A00" w:rsidRDefault="00D153F5">
        <w:pPr>
          <w:pStyle w:val="AltBilgi"/>
          <w:jc w:val="center"/>
        </w:pPr>
        <w:r>
          <w:fldChar w:fldCharType="begin"/>
        </w:r>
        <w:r w:rsidR="00372A00">
          <w:instrText xml:space="preserve"> PAGE   \* MERGEFORMAT </w:instrText>
        </w:r>
        <w:r>
          <w:fldChar w:fldCharType="separate"/>
        </w:r>
        <w:r w:rsidR="009A592F">
          <w:rPr>
            <w:noProof/>
          </w:rPr>
          <w:t>4</w:t>
        </w:r>
        <w:r>
          <w:rPr>
            <w:noProof/>
          </w:rPr>
          <w:fldChar w:fldCharType="end"/>
        </w:r>
      </w:p>
    </w:sdtContent>
  </w:sdt>
  <w:p w14:paraId="0BEB6678" w14:textId="77777777" w:rsidR="00372A00" w:rsidRDefault="00372A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BEC3B" w14:textId="77777777" w:rsidR="00EE122D" w:rsidRDefault="00EE122D" w:rsidP="00374FF4">
      <w:pPr>
        <w:spacing w:after="0" w:line="240" w:lineRule="auto"/>
      </w:pPr>
      <w:r>
        <w:separator/>
      </w:r>
    </w:p>
  </w:footnote>
  <w:footnote w:type="continuationSeparator" w:id="0">
    <w:p w14:paraId="0F19B32C" w14:textId="77777777" w:rsidR="00EE122D" w:rsidRDefault="00EE122D" w:rsidP="00374FF4">
      <w:pPr>
        <w:spacing w:after="0" w:line="240" w:lineRule="auto"/>
      </w:pPr>
      <w:r>
        <w:continuationSeparator/>
      </w:r>
    </w:p>
  </w:footnote>
  <w:footnote w:id="1">
    <w:p w14:paraId="53F9AA88"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t>“</w:t>
      </w:r>
      <w:r w:rsidRPr="008F39AA">
        <w:rPr>
          <w:i/>
        </w:rPr>
        <w:t xml:space="preserve">CMK m.135/1’in ilk cümlesinde öngörülen şartların iletişimin tespitinde uygulanması görüşünü benimsediğimizi ifade etmek isteriz. Kanaatimizce, Ceza Yargılaması Hukukunda şüpheli veya sanığın hak ve hürriyetleri aleyhine değilse de lehine genişletici yorum veya kıyas yapılabilir.” </w:t>
      </w:r>
      <w:r w:rsidRPr="008F39AA">
        <w:t xml:space="preserve">Ersan Şen, </w:t>
      </w:r>
      <w:r w:rsidRPr="008F39AA">
        <w:rPr>
          <w:b/>
        </w:rPr>
        <w:t>İletişimin Tespiti,</w:t>
      </w:r>
      <w:r w:rsidRPr="008F39AA">
        <w:rPr>
          <w:i/>
        </w:rPr>
        <w:t xml:space="preserve"> https://www.haber7.com/yazarlar/prof-dr-ersan-sen/1479525-iletisimin-tespiti</w:t>
      </w:r>
    </w:p>
  </w:footnote>
  <w:footnote w:id="2">
    <w:p w14:paraId="2C0FFC33"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t>“</w:t>
      </w:r>
      <w:r w:rsidRPr="008F39AA">
        <w:rPr>
          <w:i/>
        </w:rPr>
        <w:t xml:space="preserve">İletişim tespiti ancak, şüpheli ve sanık hakkında uygulanabilir. </w:t>
      </w:r>
      <w:r w:rsidRPr="008F39AA">
        <w:rPr>
          <w:i/>
          <w:u w:val="single"/>
        </w:rPr>
        <w:t>Haklarında iletişimin tespiti tedbiri talep edilen kişiler, baz istasyonundan hizmet alan üçüncü kişiler olup, şüpheli veya sanık sıfatına sahip olmadıklarından haklarında iletişimin tespiti tedbirine başvurulması olanağı yoktur</w:t>
      </w:r>
      <w:r w:rsidRPr="008F39AA">
        <w:rPr>
          <w:i/>
        </w:rPr>
        <w:t xml:space="preserve">” </w:t>
      </w:r>
      <w:r w:rsidRPr="008F39AA">
        <w:t>Yargıtay Ceza Genel Kurulu 15/11/2011 T., 2011/6-140 E., 2011/222 K.</w:t>
      </w:r>
    </w:p>
  </w:footnote>
  <w:footnote w:id="3">
    <w:p w14:paraId="5ADD80D6"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r>
      <w:r w:rsidRPr="008F39AA">
        <w:rPr>
          <w:i/>
        </w:rPr>
        <w:t xml:space="preserve">“… şüpheliler hakkında ‘soyut kuvvetli suç şüphesinin’ varlığına dayanılarak iletişimin tespiti kararı verilmesi yasaya uygun bulunmamıştır” </w:t>
      </w:r>
      <w:r w:rsidRPr="008F39AA">
        <w:t xml:space="preserve">Yargıtay 16. Ceza Dairesi 21/4/2016 T.,  2015/4672 E., 2016/2330 K. </w:t>
      </w:r>
    </w:p>
  </w:footnote>
  <w:footnote w:id="4">
    <w:p w14:paraId="7EA46D87"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t>Yargıtay 16. Ceza Dairesi 21/4/2016 T.,  2015/4672 E., 2016/2330 K. (Ergenekon kararı).</w:t>
      </w:r>
    </w:p>
  </w:footnote>
  <w:footnote w:id="5">
    <w:p w14:paraId="050AC171" w14:textId="77777777" w:rsidR="00372A00" w:rsidRPr="008F39AA" w:rsidRDefault="00372A00" w:rsidP="005C38C7">
      <w:pPr>
        <w:pStyle w:val="DIPSON"/>
        <w:keepNext/>
        <w:spacing w:line="240" w:lineRule="auto"/>
        <w:ind w:left="284" w:hanging="284"/>
        <w:rPr>
          <w:rFonts w:ascii="Times New Roman" w:hAnsi="Times New Roman" w:cs="Times New Roman"/>
          <w:color w:val="auto"/>
          <w:sz w:val="20"/>
          <w:szCs w:val="20"/>
        </w:rPr>
      </w:pPr>
      <w:r w:rsidRPr="008F39AA">
        <w:rPr>
          <w:rStyle w:val="DipnotBavurusu"/>
          <w:rFonts w:ascii="Times New Roman" w:hAnsi="Times New Roman"/>
          <w:sz w:val="20"/>
          <w:szCs w:val="20"/>
          <w:vertAlign w:val="baseline"/>
        </w:rPr>
        <w:footnoteRef/>
      </w:r>
      <w:r w:rsidRPr="008F39AA">
        <w:rPr>
          <w:rFonts w:ascii="Times New Roman" w:hAnsi="Times New Roman" w:cs="Times New Roman"/>
          <w:sz w:val="20"/>
          <w:szCs w:val="20"/>
        </w:rPr>
        <w:t xml:space="preserve"> </w:t>
      </w:r>
      <w:r w:rsidRPr="008F39AA">
        <w:rPr>
          <w:rFonts w:ascii="Times New Roman" w:hAnsi="Times New Roman" w:cs="Times New Roman"/>
          <w:sz w:val="20"/>
          <w:szCs w:val="20"/>
        </w:rPr>
        <w:tab/>
      </w:r>
      <w:r w:rsidRPr="008F39AA">
        <w:rPr>
          <w:rFonts w:ascii="Times New Roman" w:hAnsi="Times New Roman" w:cs="Times New Roman"/>
          <w:color w:val="auto"/>
          <w:sz w:val="20"/>
          <w:szCs w:val="20"/>
        </w:rPr>
        <w:t xml:space="preserve">Yargıtay Ceza Genel Kurulu 25/11/2014 T., 2013/9-841 E., 2014/513 K. </w:t>
      </w:r>
    </w:p>
  </w:footnote>
  <w:footnote w:id="6">
    <w:p w14:paraId="08ABC706"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t xml:space="preserve">Yargıtay Ceza Genel Kurulu 03/7/2007 T., </w:t>
      </w:r>
      <w:r w:rsidRPr="008F39AA">
        <w:rPr>
          <w:shd w:val="clear" w:color="auto" w:fill="FFFFFF"/>
        </w:rPr>
        <w:t xml:space="preserve">2007/5.MD-23 E., </w:t>
      </w:r>
      <w:r w:rsidRPr="008F39AA">
        <w:t xml:space="preserve">2007/167 K. </w:t>
      </w:r>
    </w:p>
  </w:footnote>
  <w:footnote w:id="7">
    <w:p w14:paraId="40FEE2C8"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t xml:space="preserve">Yargıtay 16. Ceza Dairesi 24/04/2017 T., 2015/3E., 2017/3 K. </w:t>
      </w:r>
    </w:p>
  </w:footnote>
  <w:footnote w:id="8">
    <w:p w14:paraId="0D4EF5F1" w14:textId="77777777" w:rsidR="00372A00" w:rsidRPr="008F39AA" w:rsidRDefault="00372A00" w:rsidP="005C38C7">
      <w:pPr>
        <w:pStyle w:val="DIPSON"/>
        <w:keepNext/>
        <w:spacing w:line="240" w:lineRule="auto"/>
        <w:ind w:left="284" w:hanging="284"/>
        <w:rPr>
          <w:rFonts w:ascii="Times New Roman" w:eastAsia="SimSun" w:hAnsi="Times New Roman" w:cs="Times New Roman"/>
          <w:color w:val="auto"/>
          <w:sz w:val="20"/>
          <w:szCs w:val="20"/>
          <w:lang w:eastAsia="zh-CN"/>
        </w:rPr>
      </w:pPr>
      <w:r w:rsidRPr="008F39AA">
        <w:rPr>
          <w:rStyle w:val="DipnotBavurusu"/>
          <w:rFonts w:ascii="Times New Roman" w:hAnsi="Times New Roman"/>
          <w:color w:val="auto"/>
          <w:sz w:val="20"/>
          <w:szCs w:val="20"/>
          <w:vertAlign w:val="baseline"/>
        </w:rPr>
        <w:footnoteRef/>
      </w:r>
      <w:r w:rsidRPr="008F39AA">
        <w:rPr>
          <w:rFonts w:ascii="Times New Roman" w:hAnsi="Times New Roman" w:cs="Times New Roman"/>
          <w:color w:val="auto"/>
          <w:sz w:val="20"/>
          <w:szCs w:val="20"/>
        </w:rPr>
        <w:t xml:space="preserve"> </w:t>
      </w:r>
      <w:r w:rsidRPr="008F39AA">
        <w:rPr>
          <w:rFonts w:ascii="Times New Roman" w:hAnsi="Times New Roman" w:cs="Times New Roman"/>
          <w:color w:val="auto"/>
          <w:sz w:val="20"/>
          <w:szCs w:val="20"/>
        </w:rPr>
        <w:tab/>
        <w:t xml:space="preserve">Yargıtay Ceza Genel </w:t>
      </w:r>
      <w:r w:rsidRPr="008F39AA">
        <w:rPr>
          <w:rFonts w:ascii="Times New Roman" w:eastAsia="SimSun" w:hAnsi="Times New Roman" w:cs="Times New Roman"/>
          <w:color w:val="auto"/>
          <w:sz w:val="20"/>
          <w:szCs w:val="20"/>
          <w:lang w:eastAsia="zh-CN"/>
        </w:rPr>
        <w:t xml:space="preserve">Kurulu </w:t>
      </w:r>
      <w:r w:rsidRPr="008F39AA">
        <w:rPr>
          <w:rFonts w:ascii="Times New Roman" w:hAnsi="Times New Roman" w:cs="Times New Roman"/>
          <w:sz w:val="20"/>
          <w:szCs w:val="20"/>
          <w:lang w:eastAsia="zh-CN"/>
        </w:rPr>
        <w:t xml:space="preserve">26/9/2017 T., 2017/16.MD-956 E., 2017/370 K. </w:t>
      </w:r>
    </w:p>
  </w:footnote>
  <w:footnote w:id="9">
    <w:p w14:paraId="293DC584"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t xml:space="preserve">Yargıtay 16. Ceza Dairesi 24/04/2017 T., 2015/3E., 2017/3 K. </w:t>
      </w:r>
    </w:p>
  </w:footnote>
  <w:footnote w:id="10">
    <w:p w14:paraId="41CF1DD0" w14:textId="77777777" w:rsidR="00372A00" w:rsidRPr="008F39AA" w:rsidRDefault="00372A00" w:rsidP="005C38C7">
      <w:pPr>
        <w:pStyle w:val="DIPSON"/>
        <w:keepNext/>
        <w:spacing w:line="240" w:lineRule="auto"/>
        <w:ind w:left="284" w:hanging="284"/>
        <w:rPr>
          <w:rFonts w:ascii="Times New Roman" w:hAnsi="Times New Roman" w:cs="Times New Roman"/>
          <w:color w:val="auto"/>
          <w:sz w:val="20"/>
          <w:szCs w:val="20"/>
        </w:rPr>
      </w:pPr>
      <w:r w:rsidRPr="008F39AA">
        <w:rPr>
          <w:rFonts w:ascii="Times New Roman" w:hAnsi="Times New Roman" w:cs="Times New Roman"/>
          <w:color w:val="auto"/>
          <w:sz w:val="20"/>
          <w:szCs w:val="20"/>
        </w:rPr>
        <w:footnoteRef/>
      </w:r>
      <w:r w:rsidRPr="008F39AA">
        <w:rPr>
          <w:rFonts w:ascii="Times New Roman" w:hAnsi="Times New Roman" w:cs="Times New Roman"/>
          <w:color w:val="auto"/>
          <w:sz w:val="20"/>
          <w:szCs w:val="20"/>
        </w:rPr>
        <w:tab/>
        <w:t>Yargıtay Ceza Genel Kurulu 26/09/2017 T., 2017/16. MD-956 E., 2017/370 K.</w:t>
      </w:r>
    </w:p>
  </w:footnote>
  <w:footnote w:id="11">
    <w:p w14:paraId="41B78BA1" w14:textId="77777777" w:rsidR="00372A00" w:rsidRPr="008F39AA" w:rsidRDefault="00372A00" w:rsidP="005C38C7">
      <w:pPr>
        <w:autoSpaceDE w:val="0"/>
        <w:autoSpaceDN w:val="0"/>
        <w:adjustRightInd w:val="0"/>
        <w:spacing w:after="0" w:line="240" w:lineRule="auto"/>
        <w:ind w:left="284" w:hanging="284"/>
        <w:jc w:val="both"/>
        <w:textAlignment w:val="center"/>
        <w:rPr>
          <w:rFonts w:ascii="Times New Roman" w:hAnsi="Times New Roman" w:cs="Times New Roman"/>
          <w:i/>
          <w:iCs/>
          <w:sz w:val="20"/>
          <w:szCs w:val="20"/>
        </w:rPr>
      </w:pPr>
      <w:r w:rsidRPr="008F39AA">
        <w:rPr>
          <w:rFonts w:ascii="Times New Roman" w:hAnsi="Times New Roman" w:cs="Times New Roman"/>
          <w:sz w:val="20"/>
          <w:szCs w:val="20"/>
        </w:rPr>
        <w:footnoteRef/>
      </w:r>
      <w:r w:rsidRPr="008F39AA">
        <w:rPr>
          <w:rFonts w:ascii="Times New Roman" w:hAnsi="Times New Roman" w:cs="Times New Roman"/>
          <w:sz w:val="20"/>
          <w:szCs w:val="20"/>
        </w:rPr>
        <w:t xml:space="preserve"> </w:t>
      </w:r>
      <w:r w:rsidRPr="008F39AA">
        <w:rPr>
          <w:rFonts w:ascii="Times New Roman" w:hAnsi="Times New Roman" w:cs="Times New Roman"/>
          <w:sz w:val="20"/>
          <w:szCs w:val="20"/>
        </w:rPr>
        <w:tab/>
        <w:t>Y</w:t>
      </w:r>
      <w:r w:rsidRPr="008F39AA">
        <w:rPr>
          <w:rStyle w:val="HafifVurgulama"/>
          <w:rFonts w:ascii="Times New Roman" w:hAnsi="Times New Roman"/>
          <w:i w:val="0"/>
          <w:color w:val="auto"/>
          <w:sz w:val="20"/>
          <w:szCs w:val="20"/>
        </w:rPr>
        <w:t xml:space="preserve">argıtay Ceza Genel Kurulu 20/12/2018 T., 2018/16-419 E., 2018/661 K.; Kararın ilgili kısmı şöyledir: </w:t>
      </w:r>
      <w:r w:rsidRPr="008F39AA">
        <w:rPr>
          <w:rFonts w:ascii="Times New Roman" w:hAnsi="Times New Roman" w:cs="Times New Roman"/>
          <w:i/>
          <w:iCs/>
          <w:sz w:val="20"/>
          <w:szCs w:val="20"/>
        </w:rPr>
        <w:t xml:space="preserve">“Ankara Cumhuriyet Başsavcılığınca bilgilendirme amacıyla Yargıtay Ceza Genel Kuruluna sunulan Emniyet Genel Müdürlüğü Kaçakçılık ve Organize Suçlarla Mücadele (KOM) Daire Başkanlığının 11.12.2018 tarihli </w:t>
      </w:r>
      <w:r w:rsidRPr="008F39AA">
        <w:rPr>
          <w:rFonts w:ascii="Times New Roman" w:hAnsi="Times New Roman" w:cs="Times New Roman"/>
          <w:b/>
          <w:i/>
          <w:iCs/>
          <w:sz w:val="20"/>
          <w:szCs w:val="20"/>
        </w:rPr>
        <w:t>ByLock Kronoloji Raporunda,</w:t>
      </w:r>
      <w:r w:rsidRPr="008F39AA">
        <w:rPr>
          <w:rFonts w:ascii="Times New Roman" w:hAnsi="Times New Roman" w:cs="Times New Roman"/>
          <w:i/>
          <w:iCs/>
          <w:sz w:val="20"/>
          <w:szCs w:val="20"/>
        </w:rPr>
        <w:t xml:space="preserve"> </w:t>
      </w:r>
    </w:p>
    <w:p w14:paraId="39747BE0" w14:textId="77777777" w:rsidR="00372A00" w:rsidRPr="008F39AA" w:rsidRDefault="00372A00" w:rsidP="005C38C7">
      <w:pPr>
        <w:autoSpaceDE w:val="0"/>
        <w:autoSpaceDN w:val="0"/>
        <w:adjustRightInd w:val="0"/>
        <w:spacing w:after="0" w:line="240" w:lineRule="auto"/>
        <w:ind w:left="284"/>
        <w:jc w:val="both"/>
        <w:textAlignment w:val="center"/>
        <w:rPr>
          <w:rFonts w:ascii="Times New Roman" w:hAnsi="Times New Roman" w:cs="Times New Roman"/>
          <w:i/>
          <w:iCs/>
          <w:sz w:val="20"/>
          <w:szCs w:val="20"/>
        </w:rPr>
      </w:pPr>
      <w:r w:rsidRPr="008F39AA">
        <w:rPr>
          <w:rFonts w:ascii="Times New Roman" w:hAnsi="Times New Roman" w:cs="Times New Roman"/>
          <w:i/>
          <w:iCs/>
          <w:sz w:val="20"/>
          <w:szCs w:val="20"/>
        </w:rPr>
        <w:t xml:space="preserve">- MİT tarafından Ankara Cumhuriyet Başsavcılığına kurulan bilgisayarda yer alan </w:t>
      </w:r>
      <w:r w:rsidRPr="008F39AA">
        <w:rPr>
          <w:rFonts w:ascii="Times New Roman" w:hAnsi="Times New Roman" w:cs="Times New Roman"/>
          <w:b/>
          <w:i/>
          <w:iCs/>
          <w:sz w:val="20"/>
          <w:szCs w:val="20"/>
        </w:rPr>
        <w:t>BYLOCK VERİLERİNİN 29.11.2016 TARİHİNDE KOM GÖREVLİLERİNCE İMAJI ALINARAK</w:t>
      </w:r>
      <w:r w:rsidRPr="008F39AA">
        <w:rPr>
          <w:rFonts w:ascii="Times New Roman" w:hAnsi="Times New Roman" w:cs="Times New Roman"/>
          <w:i/>
          <w:iCs/>
          <w:sz w:val="20"/>
          <w:szCs w:val="20"/>
        </w:rPr>
        <w:t xml:space="preserve"> KOM Daire Başkanlığına gönderildiği, </w:t>
      </w:r>
    </w:p>
    <w:p w14:paraId="44C118CA" w14:textId="77777777" w:rsidR="00372A00" w:rsidRPr="008F39AA" w:rsidRDefault="00372A00" w:rsidP="005C38C7">
      <w:pPr>
        <w:autoSpaceDE w:val="0"/>
        <w:autoSpaceDN w:val="0"/>
        <w:adjustRightInd w:val="0"/>
        <w:spacing w:after="0" w:line="240" w:lineRule="auto"/>
        <w:ind w:left="284"/>
        <w:jc w:val="both"/>
        <w:textAlignment w:val="center"/>
        <w:rPr>
          <w:rFonts w:ascii="Times New Roman" w:hAnsi="Times New Roman" w:cs="Times New Roman"/>
          <w:i/>
          <w:iCs/>
          <w:sz w:val="20"/>
          <w:szCs w:val="20"/>
        </w:rPr>
      </w:pPr>
      <w:r w:rsidRPr="008F39AA">
        <w:rPr>
          <w:rFonts w:ascii="Times New Roman" w:hAnsi="Times New Roman" w:cs="Times New Roman"/>
          <w:i/>
          <w:iCs/>
          <w:sz w:val="20"/>
          <w:szCs w:val="20"/>
        </w:rPr>
        <w:t xml:space="preserve">- Bu verilerin incelenerek adli soruşturma ve kovuşturmalarda kullanılabilmesi için rapor hazırlanması amacıyla </w:t>
      </w:r>
      <w:r w:rsidRPr="008F39AA">
        <w:rPr>
          <w:rFonts w:ascii="Times New Roman" w:hAnsi="Times New Roman" w:cs="Times New Roman"/>
          <w:b/>
          <w:i/>
          <w:iCs/>
          <w:sz w:val="20"/>
          <w:szCs w:val="20"/>
        </w:rPr>
        <w:t>01.12.2016 tarihinde</w:t>
      </w:r>
      <w:r w:rsidRPr="008F39AA">
        <w:rPr>
          <w:rFonts w:ascii="Times New Roman" w:hAnsi="Times New Roman" w:cs="Times New Roman"/>
          <w:i/>
          <w:iCs/>
          <w:sz w:val="20"/>
          <w:szCs w:val="20"/>
        </w:rPr>
        <w:t xml:space="preserve"> KOM, Terörle Mücadele (TEM), İstihbarat ve Siber Suçlarla Mücadele Daire Başkanlıklarınca görevlendirilen personelden oluşan çalışma grubu kurulduğu ve </w:t>
      </w:r>
      <w:r w:rsidRPr="008F39AA">
        <w:rPr>
          <w:rFonts w:ascii="Times New Roman" w:hAnsi="Times New Roman" w:cs="Times New Roman"/>
          <w:b/>
          <w:i/>
          <w:iCs/>
          <w:sz w:val="20"/>
          <w:szCs w:val="20"/>
        </w:rPr>
        <w:t>02.12.2016 tarihinde verilerin incelenmeye başlandığı,</w:t>
      </w:r>
      <w:r w:rsidRPr="008F39AA">
        <w:rPr>
          <w:rFonts w:ascii="Times New Roman" w:hAnsi="Times New Roman" w:cs="Times New Roman"/>
          <w:i/>
          <w:iCs/>
          <w:sz w:val="20"/>
          <w:szCs w:val="20"/>
        </w:rPr>
        <w:t xml:space="preserve"> </w:t>
      </w:r>
    </w:p>
    <w:p w14:paraId="3EE0E41C" w14:textId="77777777" w:rsidR="00372A00" w:rsidRPr="008F39AA" w:rsidRDefault="00372A00" w:rsidP="005C38C7">
      <w:pPr>
        <w:pStyle w:val="Default"/>
        <w:keepNext/>
        <w:ind w:left="284"/>
        <w:jc w:val="both"/>
        <w:rPr>
          <w:color w:val="auto"/>
          <w:sz w:val="20"/>
          <w:szCs w:val="20"/>
        </w:rPr>
      </w:pPr>
      <w:r w:rsidRPr="008F39AA">
        <w:rPr>
          <w:i/>
          <w:iCs/>
          <w:sz w:val="20"/>
          <w:szCs w:val="20"/>
        </w:rPr>
        <w:t xml:space="preserve">- Ankara Cumhuriyet Başsavcılığının talimatıyla ByLock sunucusuna ait 9 IP adresine bağlanan </w:t>
      </w:r>
      <w:r w:rsidRPr="008F39AA">
        <w:rPr>
          <w:b/>
          <w:i/>
          <w:iCs/>
          <w:sz w:val="20"/>
          <w:szCs w:val="20"/>
        </w:rPr>
        <w:t>abonelere ilişkin 129.862 satırlık “ByLock abone listesi” ve MİT tarafından hazırlanan 88 sayfalık “MİT teknik raporu”nun</w:t>
      </w:r>
      <w:r w:rsidRPr="008F39AA">
        <w:rPr>
          <w:i/>
          <w:iCs/>
          <w:sz w:val="20"/>
          <w:szCs w:val="20"/>
        </w:rPr>
        <w:t xml:space="preserve"> 16.12.2016 tarihinde KOM Daire Başkanlığınca teslim alındığı”</w:t>
      </w:r>
    </w:p>
  </w:footnote>
  <w:footnote w:id="12">
    <w:p w14:paraId="549BE122"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t>Bylock bilgi ve verilerinin istihbari çalışma sonucu elde edildiğine ilişkin MİT tarafından yapılan basın açıklaması için bkz.: https://www.mit.gov.tr/basin60.html</w:t>
      </w:r>
    </w:p>
  </w:footnote>
  <w:footnote w:id="13">
    <w:p w14:paraId="7B18C2D2"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t xml:space="preserve">AYM’nin 30/12/2015 T., 2014/122 E., 2015/123 K. </w:t>
      </w:r>
    </w:p>
  </w:footnote>
  <w:footnote w:id="14">
    <w:p w14:paraId="7FF6DA96" w14:textId="77777777" w:rsidR="00372A00" w:rsidRPr="008F39AA" w:rsidRDefault="00372A00" w:rsidP="005C38C7">
      <w:pPr>
        <w:pStyle w:val="DIPSON"/>
        <w:keepNext/>
        <w:spacing w:line="240" w:lineRule="auto"/>
        <w:ind w:left="284" w:hanging="284"/>
        <w:rPr>
          <w:rFonts w:ascii="Times New Roman" w:hAnsi="Times New Roman" w:cs="Times New Roman"/>
          <w:color w:val="auto"/>
          <w:sz w:val="20"/>
          <w:szCs w:val="20"/>
        </w:rPr>
      </w:pPr>
      <w:r w:rsidRPr="008F39AA">
        <w:rPr>
          <w:rStyle w:val="DipnotBavurusu"/>
          <w:rFonts w:ascii="Times New Roman" w:hAnsi="Times New Roman"/>
          <w:sz w:val="20"/>
          <w:szCs w:val="20"/>
          <w:vertAlign w:val="baseline"/>
        </w:rPr>
        <w:footnoteRef/>
      </w:r>
      <w:r w:rsidRPr="008F39AA">
        <w:rPr>
          <w:rFonts w:ascii="Times New Roman" w:hAnsi="Times New Roman" w:cs="Times New Roman"/>
          <w:sz w:val="20"/>
          <w:szCs w:val="20"/>
        </w:rPr>
        <w:t xml:space="preserve"> </w:t>
      </w:r>
      <w:r w:rsidRPr="008F39AA">
        <w:rPr>
          <w:rFonts w:ascii="Times New Roman" w:hAnsi="Times New Roman" w:cs="Times New Roman"/>
          <w:sz w:val="20"/>
          <w:szCs w:val="20"/>
        </w:rPr>
        <w:tab/>
      </w:r>
      <w:r w:rsidRPr="008F39AA">
        <w:rPr>
          <w:rFonts w:ascii="Times New Roman" w:hAnsi="Times New Roman" w:cs="Times New Roman"/>
          <w:color w:val="auto"/>
          <w:sz w:val="20"/>
          <w:szCs w:val="20"/>
        </w:rPr>
        <w:t>Yargıtay Ceza Genel Kurulu 25/11/2014 T., 2013/9-841 E., 2014/513 K.</w:t>
      </w:r>
    </w:p>
  </w:footnote>
  <w:footnote w:id="15">
    <w:p w14:paraId="3C2CA6B3" w14:textId="77777777" w:rsidR="00372A00" w:rsidRPr="008F39AA" w:rsidRDefault="00372A00" w:rsidP="005C38C7">
      <w:pPr>
        <w:pStyle w:val="DIPSON"/>
        <w:keepNext/>
        <w:spacing w:line="240" w:lineRule="auto"/>
        <w:ind w:left="284" w:hanging="284"/>
        <w:rPr>
          <w:rFonts w:ascii="Times New Roman" w:hAnsi="Times New Roman" w:cs="Times New Roman"/>
          <w:color w:val="auto"/>
          <w:sz w:val="20"/>
          <w:szCs w:val="20"/>
        </w:rPr>
      </w:pPr>
      <w:r w:rsidRPr="008F39AA">
        <w:rPr>
          <w:rStyle w:val="DipnotBavurusu"/>
          <w:rFonts w:ascii="Times New Roman" w:hAnsi="Times New Roman"/>
          <w:color w:val="auto"/>
          <w:sz w:val="20"/>
          <w:szCs w:val="20"/>
          <w:vertAlign w:val="baseline"/>
        </w:rPr>
        <w:footnoteRef/>
      </w:r>
      <w:r w:rsidRPr="008F39AA">
        <w:rPr>
          <w:rFonts w:ascii="Times New Roman" w:hAnsi="Times New Roman" w:cs="Times New Roman"/>
          <w:color w:val="auto"/>
          <w:sz w:val="20"/>
          <w:szCs w:val="20"/>
        </w:rPr>
        <w:t xml:space="preserve"> </w:t>
      </w:r>
      <w:r w:rsidRPr="008F39AA">
        <w:rPr>
          <w:rFonts w:ascii="Times New Roman" w:hAnsi="Times New Roman" w:cs="Times New Roman"/>
          <w:color w:val="auto"/>
          <w:sz w:val="20"/>
          <w:szCs w:val="20"/>
        </w:rPr>
        <w:tab/>
      </w:r>
      <w:r w:rsidRPr="008F39AA">
        <w:rPr>
          <w:rFonts w:ascii="Times New Roman" w:hAnsi="Times New Roman" w:cs="Times New Roman"/>
          <w:color w:val="auto"/>
          <w:spacing w:val="-2"/>
          <w:sz w:val="20"/>
          <w:szCs w:val="20"/>
        </w:rPr>
        <w:t>Yargıtay Ceza Genel Kurulu 14/03/2017 T., 2016/20-348E., 2017/140 K.;</w:t>
      </w:r>
      <w:r w:rsidRPr="008F39AA">
        <w:rPr>
          <w:rFonts w:ascii="Times New Roman" w:hAnsi="Times New Roman" w:cs="Times New Roman"/>
          <w:color w:val="auto"/>
          <w:sz w:val="20"/>
          <w:szCs w:val="20"/>
        </w:rPr>
        <w:t>17/11/2009 T., 2009/160 E., 2009/264K.</w:t>
      </w:r>
    </w:p>
  </w:footnote>
  <w:footnote w:id="16">
    <w:p w14:paraId="180404C2" w14:textId="77777777" w:rsidR="00372A00" w:rsidRPr="008F39AA" w:rsidRDefault="00372A00" w:rsidP="005C38C7">
      <w:pPr>
        <w:pStyle w:val="DIPSON"/>
        <w:keepNext/>
        <w:spacing w:line="240" w:lineRule="auto"/>
        <w:ind w:left="284" w:hanging="284"/>
        <w:rPr>
          <w:rFonts w:ascii="Times New Roman" w:hAnsi="Times New Roman" w:cs="Times New Roman"/>
          <w:color w:val="auto"/>
          <w:sz w:val="20"/>
          <w:szCs w:val="20"/>
        </w:rPr>
      </w:pPr>
      <w:r w:rsidRPr="008F39AA">
        <w:rPr>
          <w:rFonts w:ascii="Times New Roman" w:hAnsi="Times New Roman" w:cs="Times New Roman"/>
          <w:color w:val="auto"/>
          <w:sz w:val="20"/>
          <w:szCs w:val="20"/>
        </w:rPr>
        <w:footnoteRef/>
      </w:r>
      <w:r w:rsidRPr="008F39AA">
        <w:rPr>
          <w:rFonts w:ascii="Times New Roman" w:hAnsi="Times New Roman" w:cs="Times New Roman"/>
          <w:color w:val="auto"/>
          <w:sz w:val="20"/>
          <w:szCs w:val="20"/>
        </w:rPr>
        <w:t xml:space="preserve"> </w:t>
      </w:r>
      <w:r w:rsidRPr="008F39AA">
        <w:rPr>
          <w:rFonts w:ascii="Times New Roman" w:hAnsi="Times New Roman" w:cs="Times New Roman"/>
          <w:color w:val="auto"/>
          <w:sz w:val="20"/>
          <w:szCs w:val="20"/>
        </w:rPr>
        <w:tab/>
        <w:t>AYM’nin Orhan Kılıç Kararı, (Genel Kurul), B. No:2014/4704, 01/02/2018.</w:t>
      </w:r>
    </w:p>
  </w:footnote>
  <w:footnote w:id="17">
    <w:p w14:paraId="7F1B04BE" w14:textId="7519782A"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rPr>
          <w:i/>
        </w:rPr>
        <w:t xml:space="preserve"> </w:t>
      </w:r>
      <w:r w:rsidRPr="008F39AA">
        <w:t>Yargıtay Ceza Genel Kurulu 17.11.1986 T., 1986/6-398 E., 1986/522 K. </w:t>
      </w:r>
    </w:p>
  </w:footnote>
  <w:footnote w:id="18">
    <w:p w14:paraId="4A91ECC7"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r>
      <w:r w:rsidRPr="008F39AA">
        <w:rPr>
          <w:iCs/>
        </w:rPr>
        <w:t>Yargıtay 16. Ceza Dairesi 12/9/2018 T., 2018/2944 E., 2018/2741 K.</w:t>
      </w:r>
    </w:p>
  </w:footnote>
  <w:footnote w:id="19">
    <w:p w14:paraId="5B355C97" w14:textId="77777777" w:rsidR="00372A00" w:rsidRPr="008F39AA" w:rsidRDefault="00372A00" w:rsidP="005C38C7">
      <w:pPr>
        <w:pStyle w:val="NormalWeb"/>
        <w:spacing w:before="0" w:beforeAutospacing="0" w:after="0" w:afterAutospacing="0"/>
        <w:ind w:left="284" w:hanging="284"/>
        <w:jc w:val="both"/>
        <w:rPr>
          <w:rFonts w:eastAsia="Andale Sans UI"/>
          <w:kern w:val="1"/>
          <w:sz w:val="20"/>
          <w:szCs w:val="20"/>
        </w:rPr>
      </w:pPr>
      <w:r w:rsidRPr="008F39AA">
        <w:rPr>
          <w:rStyle w:val="DipnotBavurusu"/>
          <w:rFonts w:ascii="Times New Roman" w:hAnsi="Times New Roman"/>
          <w:sz w:val="20"/>
          <w:szCs w:val="20"/>
          <w:vertAlign w:val="baseline"/>
        </w:rPr>
        <w:footnoteRef/>
      </w:r>
      <w:r w:rsidRPr="008F39AA">
        <w:rPr>
          <w:sz w:val="20"/>
          <w:szCs w:val="20"/>
        </w:rPr>
        <w:t xml:space="preserve"> </w:t>
      </w:r>
      <w:r w:rsidRPr="008F39AA">
        <w:rPr>
          <w:i/>
          <w:sz w:val="20"/>
          <w:szCs w:val="20"/>
        </w:rPr>
        <w:tab/>
      </w:r>
      <w:r w:rsidRPr="008F39AA">
        <w:rPr>
          <w:sz w:val="20"/>
          <w:szCs w:val="20"/>
        </w:rPr>
        <w:t>Yargıtay 9. Ceza Dairesi 28/6/2010 T., 2010/4770 E., 2010/7689 K.; 16 Ceza Dairesi 25/5/2015 T., 2015/1093 E., 2015/1439 K.; Yargıtay 6. Ceza Dairesi 07/02/2008 T., 2008/4964 E., 2008/14382 K.</w:t>
      </w:r>
    </w:p>
  </w:footnote>
  <w:footnote w:id="20">
    <w:p w14:paraId="292E05F1"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t xml:space="preserve">Yargıtay Ceza Genel Kurulu 17/12/1996 T.,  1996/10-275 E., 1996/288 K. </w:t>
      </w:r>
    </w:p>
  </w:footnote>
  <w:footnote w:id="21">
    <w:p w14:paraId="47B0950A" w14:textId="6D23CBB5"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rPr>
          <w:i/>
        </w:rPr>
        <w:t>Van Mechelen ve Diğerleri/Hollanda</w:t>
      </w:r>
      <w:r w:rsidRPr="008F39AA">
        <w:t xml:space="preserve">, B. No: 22056/93, 23/4/1997, </w:t>
      </w:r>
      <w:r w:rsidRPr="008F39AA">
        <w:rPr>
          <w:color w:val="000000"/>
          <w:shd w:val="clear" w:color="auto" w:fill="FFFFFF"/>
        </w:rPr>
        <w:t xml:space="preserve">§§ </w:t>
      </w:r>
      <w:r w:rsidRPr="008F39AA">
        <w:t xml:space="preserve">53-54; </w:t>
      </w:r>
      <w:r w:rsidRPr="008F39AA">
        <w:rPr>
          <w:i/>
        </w:rPr>
        <w:t>Labita/İtalya</w:t>
      </w:r>
      <w:r w:rsidRPr="008F39AA">
        <w:t xml:space="preserve">, B. No: 26772/95, 06/4/2000, </w:t>
      </w:r>
      <w:r w:rsidRPr="008F39AA">
        <w:rPr>
          <w:color w:val="000000"/>
          <w:shd w:val="clear" w:color="auto" w:fill="FFFFFF"/>
        </w:rPr>
        <w:t>§§</w:t>
      </w:r>
      <w:r w:rsidRPr="008F39AA">
        <w:t xml:space="preserve"> 156 vd; </w:t>
      </w:r>
      <w:r w:rsidRPr="008F39AA">
        <w:rPr>
          <w:i/>
        </w:rPr>
        <w:t>Adamco/Slovakya</w:t>
      </w:r>
      <w:r w:rsidRPr="008F39AA">
        <w:t xml:space="preserve">, B. No: 45084/14, 12/11/2019, </w:t>
      </w:r>
      <w:r w:rsidRPr="008F39AA">
        <w:rPr>
          <w:color w:val="000000"/>
          <w:shd w:val="clear" w:color="auto" w:fill="FFFFFF"/>
        </w:rPr>
        <w:t>§§ 68-71.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64A"/>
    <w:multiLevelType w:val="hybridMultilevel"/>
    <w:tmpl w:val="8F6C967E"/>
    <w:lvl w:ilvl="0" w:tplc="3D3C9460">
      <w:start w:val="1"/>
      <w:numFmt w:val="lowerRoman"/>
      <w:lvlText w:val="(%1)"/>
      <w:lvlJc w:val="left"/>
      <w:pPr>
        <w:ind w:left="1146" w:hanging="72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053316BB"/>
    <w:multiLevelType w:val="hybridMultilevel"/>
    <w:tmpl w:val="8D1A899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722A56"/>
    <w:multiLevelType w:val="hybridMultilevel"/>
    <w:tmpl w:val="016A7C42"/>
    <w:lvl w:ilvl="0" w:tplc="2676E1C6">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5B0D48"/>
    <w:multiLevelType w:val="hybridMultilevel"/>
    <w:tmpl w:val="C42ED220"/>
    <w:lvl w:ilvl="0" w:tplc="76E6DD78">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1C14E7"/>
    <w:multiLevelType w:val="hybridMultilevel"/>
    <w:tmpl w:val="94DC4876"/>
    <w:lvl w:ilvl="0" w:tplc="198ED45E">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443F61"/>
    <w:multiLevelType w:val="hybridMultilevel"/>
    <w:tmpl w:val="54F0F760"/>
    <w:lvl w:ilvl="0" w:tplc="B69C1E56">
      <w:start w:val="1"/>
      <w:numFmt w:val="lowerRoman"/>
      <w:lvlText w:val="(%1)"/>
      <w:lvlJc w:val="left"/>
      <w:pPr>
        <w:ind w:left="1146" w:hanging="72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408C0A43"/>
    <w:multiLevelType w:val="hybridMultilevel"/>
    <w:tmpl w:val="3A0A23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61C70BE"/>
    <w:multiLevelType w:val="hybridMultilevel"/>
    <w:tmpl w:val="03D6A99E"/>
    <w:lvl w:ilvl="0" w:tplc="CBAAD222">
      <w:start w:val="1"/>
      <w:numFmt w:val="lowerRoman"/>
      <w:lvlText w:val="(%1)"/>
      <w:lvlJc w:val="left"/>
      <w:pPr>
        <w:ind w:left="1146" w:hanging="720"/>
      </w:pPr>
      <w:rPr>
        <w:rFonts w:hint="default"/>
        <w:b/>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4D03330B"/>
    <w:multiLevelType w:val="hybridMultilevel"/>
    <w:tmpl w:val="19D42A5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4446E38"/>
    <w:multiLevelType w:val="hybridMultilevel"/>
    <w:tmpl w:val="9360627A"/>
    <w:lvl w:ilvl="0" w:tplc="7908CE70">
      <w:start w:val="1"/>
      <w:numFmt w:val="decimal"/>
      <w:lvlText w:val="%1."/>
      <w:lvlJc w:val="left"/>
      <w:pPr>
        <w:ind w:left="360" w:hanging="360"/>
      </w:pPr>
      <w:rPr>
        <w:rFonts w:ascii="Arial" w:hAnsi="Arial" w:cs="Arial" w:hint="default"/>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5C2404E"/>
    <w:multiLevelType w:val="hybridMultilevel"/>
    <w:tmpl w:val="370671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ABB5F97"/>
    <w:multiLevelType w:val="hybridMultilevel"/>
    <w:tmpl w:val="C904437E"/>
    <w:lvl w:ilvl="0" w:tplc="9EF2306A">
      <w:start w:val="1"/>
      <w:numFmt w:val="decimal"/>
      <w:lvlText w:val="%1."/>
      <w:lvlJc w:val="left"/>
      <w:pPr>
        <w:ind w:left="720" w:hanging="360"/>
      </w:pPr>
      <w:rPr>
        <w:rFonts w:eastAsiaTheme="minorHAnsi"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24490250">
    <w:abstractNumId w:val="4"/>
  </w:num>
  <w:num w:numId="2" w16cid:durableId="904292756">
    <w:abstractNumId w:val="0"/>
  </w:num>
  <w:num w:numId="3" w16cid:durableId="694885705">
    <w:abstractNumId w:val="7"/>
  </w:num>
  <w:num w:numId="4" w16cid:durableId="744188811">
    <w:abstractNumId w:val="5"/>
  </w:num>
  <w:num w:numId="5" w16cid:durableId="489256892">
    <w:abstractNumId w:val="9"/>
  </w:num>
  <w:num w:numId="6" w16cid:durableId="202133569">
    <w:abstractNumId w:val="10"/>
  </w:num>
  <w:num w:numId="7" w16cid:durableId="1807623157">
    <w:abstractNumId w:val="6"/>
  </w:num>
  <w:num w:numId="8" w16cid:durableId="1805653544">
    <w:abstractNumId w:val="11"/>
  </w:num>
  <w:num w:numId="9" w16cid:durableId="356126137">
    <w:abstractNumId w:val="1"/>
  </w:num>
  <w:num w:numId="10" w16cid:durableId="476462630">
    <w:abstractNumId w:val="8"/>
  </w:num>
  <w:num w:numId="11" w16cid:durableId="241257898">
    <w:abstractNumId w:val="2"/>
  </w:num>
  <w:num w:numId="12" w16cid:durableId="2073459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MjExNjMzNzc3tTBW0lEKTi0uzszPAykwrAUAYGztyywAAAA="/>
  </w:docVars>
  <w:rsids>
    <w:rsidRoot w:val="00E10E90"/>
    <w:rsid w:val="00000597"/>
    <w:rsid w:val="00004B89"/>
    <w:rsid w:val="00005319"/>
    <w:rsid w:val="000055CF"/>
    <w:rsid w:val="000078B1"/>
    <w:rsid w:val="000145BC"/>
    <w:rsid w:val="000148A3"/>
    <w:rsid w:val="00020C5E"/>
    <w:rsid w:val="00021851"/>
    <w:rsid w:val="00022A97"/>
    <w:rsid w:val="00026715"/>
    <w:rsid w:val="00030525"/>
    <w:rsid w:val="00032BD6"/>
    <w:rsid w:val="00032EB1"/>
    <w:rsid w:val="00036A0E"/>
    <w:rsid w:val="00043E3C"/>
    <w:rsid w:val="00044762"/>
    <w:rsid w:val="0004508C"/>
    <w:rsid w:val="0005140D"/>
    <w:rsid w:val="00052037"/>
    <w:rsid w:val="0005398E"/>
    <w:rsid w:val="00054B7E"/>
    <w:rsid w:val="00055571"/>
    <w:rsid w:val="00061EAA"/>
    <w:rsid w:val="00070177"/>
    <w:rsid w:val="00070484"/>
    <w:rsid w:val="000707C0"/>
    <w:rsid w:val="00070A4D"/>
    <w:rsid w:val="00074D47"/>
    <w:rsid w:val="00074FC0"/>
    <w:rsid w:val="00081330"/>
    <w:rsid w:val="000819DB"/>
    <w:rsid w:val="00082FEB"/>
    <w:rsid w:val="00083439"/>
    <w:rsid w:val="00083A43"/>
    <w:rsid w:val="00083A54"/>
    <w:rsid w:val="000861AC"/>
    <w:rsid w:val="00086D26"/>
    <w:rsid w:val="00090EFC"/>
    <w:rsid w:val="000910AB"/>
    <w:rsid w:val="00093F93"/>
    <w:rsid w:val="00095E04"/>
    <w:rsid w:val="000962FA"/>
    <w:rsid w:val="00096438"/>
    <w:rsid w:val="0009745D"/>
    <w:rsid w:val="000A3D1B"/>
    <w:rsid w:val="000A7B71"/>
    <w:rsid w:val="000B12B5"/>
    <w:rsid w:val="000B1C7C"/>
    <w:rsid w:val="000B382A"/>
    <w:rsid w:val="000B5F08"/>
    <w:rsid w:val="000C0678"/>
    <w:rsid w:val="000C3B3F"/>
    <w:rsid w:val="000C5929"/>
    <w:rsid w:val="000C70E8"/>
    <w:rsid w:val="000C7647"/>
    <w:rsid w:val="000C7D02"/>
    <w:rsid w:val="000D0443"/>
    <w:rsid w:val="000D2042"/>
    <w:rsid w:val="000D611B"/>
    <w:rsid w:val="000D6F10"/>
    <w:rsid w:val="000D7A7B"/>
    <w:rsid w:val="000D7F78"/>
    <w:rsid w:val="000E232F"/>
    <w:rsid w:val="000E27CC"/>
    <w:rsid w:val="000E5718"/>
    <w:rsid w:val="000E73E9"/>
    <w:rsid w:val="000F23D4"/>
    <w:rsid w:val="000F6463"/>
    <w:rsid w:val="00100254"/>
    <w:rsid w:val="001006DD"/>
    <w:rsid w:val="001006FF"/>
    <w:rsid w:val="00102B15"/>
    <w:rsid w:val="00104831"/>
    <w:rsid w:val="00104DF3"/>
    <w:rsid w:val="00113F30"/>
    <w:rsid w:val="00115612"/>
    <w:rsid w:val="00116F1D"/>
    <w:rsid w:val="00120CE8"/>
    <w:rsid w:val="001219EB"/>
    <w:rsid w:val="00123AB3"/>
    <w:rsid w:val="001240A0"/>
    <w:rsid w:val="00124DAA"/>
    <w:rsid w:val="00126A15"/>
    <w:rsid w:val="00126E1E"/>
    <w:rsid w:val="001369CC"/>
    <w:rsid w:val="0014508A"/>
    <w:rsid w:val="00146082"/>
    <w:rsid w:val="00147B7C"/>
    <w:rsid w:val="00147C84"/>
    <w:rsid w:val="0015432D"/>
    <w:rsid w:val="00155E61"/>
    <w:rsid w:val="00161601"/>
    <w:rsid w:val="00163367"/>
    <w:rsid w:val="00170289"/>
    <w:rsid w:val="001754A0"/>
    <w:rsid w:val="00184816"/>
    <w:rsid w:val="001875E4"/>
    <w:rsid w:val="0019300D"/>
    <w:rsid w:val="00193A23"/>
    <w:rsid w:val="0019413B"/>
    <w:rsid w:val="00194E74"/>
    <w:rsid w:val="00195A13"/>
    <w:rsid w:val="00195F7D"/>
    <w:rsid w:val="001A0009"/>
    <w:rsid w:val="001A00EE"/>
    <w:rsid w:val="001A314E"/>
    <w:rsid w:val="001A3C10"/>
    <w:rsid w:val="001A40B7"/>
    <w:rsid w:val="001A7E79"/>
    <w:rsid w:val="001B0981"/>
    <w:rsid w:val="001B2E39"/>
    <w:rsid w:val="001B60E2"/>
    <w:rsid w:val="001C0719"/>
    <w:rsid w:val="001C73EA"/>
    <w:rsid w:val="001D0E0E"/>
    <w:rsid w:val="001D32CC"/>
    <w:rsid w:val="001D68AB"/>
    <w:rsid w:val="001E0830"/>
    <w:rsid w:val="001E0A0E"/>
    <w:rsid w:val="001E574D"/>
    <w:rsid w:val="001E5C1B"/>
    <w:rsid w:val="001F0E2A"/>
    <w:rsid w:val="001F1A60"/>
    <w:rsid w:val="001F4AF6"/>
    <w:rsid w:val="001F6169"/>
    <w:rsid w:val="001F62FA"/>
    <w:rsid w:val="001F7827"/>
    <w:rsid w:val="002066B7"/>
    <w:rsid w:val="00210BD8"/>
    <w:rsid w:val="00212A32"/>
    <w:rsid w:val="002234B8"/>
    <w:rsid w:val="00225902"/>
    <w:rsid w:val="002264A6"/>
    <w:rsid w:val="002269EE"/>
    <w:rsid w:val="00227C9F"/>
    <w:rsid w:val="00227FD3"/>
    <w:rsid w:val="00231398"/>
    <w:rsid w:val="00232D8B"/>
    <w:rsid w:val="00234E09"/>
    <w:rsid w:val="0023506F"/>
    <w:rsid w:val="002369C5"/>
    <w:rsid w:val="00241C52"/>
    <w:rsid w:val="002434F9"/>
    <w:rsid w:val="00243B59"/>
    <w:rsid w:val="0024517C"/>
    <w:rsid w:val="002468BE"/>
    <w:rsid w:val="00247875"/>
    <w:rsid w:val="00250CBE"/>
    <w:rsid w:val="002510CE"/>
    <w:rsid w:val="00253069"/>
    <w:rsid w:val="00261B89"/>
    <w:rsid w:val="00262B24"/>
    <w:rsid w:val="002675F6"/>
    <w:rsid w:val="00270501"/>
    <w:rsid w:val="00276FE4"/>
    <w:rsid w:val="0028340D"/>
    <w:rsid w:val="00283EB8"/>
    <w:rsid w:val="002913C5"/>
    <w:rsid w:val="002913D7"/>
    <w:rsid w:val="0029252F"/>
    <w:rsid w:val="00294241"/>
    <w:rsid w:val="002950DC"/>
    <w:rsid w:val="002A1328"/>
    <w:rsid w:val="002A1D87"/>
    <w:rsid w:val="002A1F8B"/>
    <w:rsid w:val="002A5113"/>
    <w:rsid w:val="002A6692"/>
    <w:rsid w:val="002B40BD"/>
    <w:rsid w:val="002B4DB9"/>
    <w:rsid w:val="002C2149"/>
    <w:rsid w:val="002C6717"/>
    <w:rsid w:val="002D7DC8"/>
    <w:rsid w:val="002E14AC"/>
    <w:rsid w:val="002E2868"/>
    <w:rsid w:val="002E2CB3"/>
    <w:rsid w:val="002E3A67"/>
    <w:rsid w:val="002E4086"/>
    <w:rsid w:val="002E4095"/>
    <w:rsid w:val="002E5C0A"/>
    <w:rsid w:val="002E721D"/>
    <w:rsid w:val="002F0053"/>
    <w:rsid w:val="002F32A2"/>
    <w:rsid w:val="002F34A1"/>
    <w:rsid w:val="003032AC"/>
    <w:rsid w:val="003051A3"/>
    <w:rsid w:val="00311949"/>
    <w:rsid w:val="00311A4F"/>
    <w:rsid w:val="00311F9A"/>
    <w:rsid w:val="0031261C"/>
    <w:rsid w:val="0031502A"/>
    <w:rsid w:val="00315CA5"/>
    <w:rsid w:val="00326ABF"/>
    <w:rsid w:val="00326E29"/>
    <w:rsid w:val="003276BD"/>
    <w:rsid w:val="00331066"/>
    <w:rsid w:val="00331A89"/>
    <w:rsid w:val="00333DA6"/>
    <w:rsid w:val="003407CD"/>
    <w:rsid w:val="00343A3B"/>
    <w:rsid w:val="00346CA6"/>
    <w:rsid w:val="00350CFE"/>
    <w:rsid w:val="003521C6"/>
    <w:rsid w:val="00353A66"/>
    <w:rsid w:val="003557F3"/>
    <w:rsid w:val="0035713A"/>
    <w:rsid w:val="003647CE"/>
    <w:rsid w:val="00364891"/>
    <w:rsid w:val="00365D30"/>
    <w:rsid w:val="0036685E"/>
    <w:rsid w:val="00366A7A"/>
    <w:rsid w:val="0037239A"/>
    <w:rsid w:val="003723E1"/>
    <w:rsid w:val="00372542"/>
    <w:rsid w:val="00372A00"/>
    <w:rsid w:val="00374FF4"/>
    <w:rsid w:val="003757BD"/>
    <w:rsid w:val="0037775D"/>
    <w:rsid w:val="00377DEB"/>
    <w:rsid w:val="003811CD"/>
    <w:rsid w:val="00385661"/>
    <w:rsid w:val="003918D3"/>
    <w:rsid w:val="003935E5"/>
    <w:rsid w:val="003A4AD9"/>
    <w:rsid w:val="003B0BFE"/>
    <w:rsid w:val="003B18DD"/>
    <w:rsid w:val="003B2567"/>
    <w:rsid w:val="003B47E7"/>
    <w:rsid w:val="003B4A8B"/>
    <w:rsid w:val="003C02D9"/>
    <w:rsid w:val="003C2391"/>
    <w:rsid w:val="003C275B"/>
    <w:rsid w:val="003C37F2"/>
    <w:rsid w:val="003C6942"/>
    <w:rsid w:val="003E1AF2"/>
    <w:rsid w:val="003E3D36"/>
    <w:rsid w:val="003E7B55"/>
    <w:rsid w:val="003F162A"/>
    <w:rsid w:val="003F18CF"/>
    <w:rsid w:val="003F1FCE"/>
    <w:rsid w:val="00400037"/>
    <w:rsid w:val="00402D0D"/>
    <w:rsid w:val="00406573"/>
    <w:rsid w:val="004201F4"/>
    <w:rsid w:val="00420979"/>
    <w:rsid w:val="0042227E"/>
    <w:rsid w:val="00422D8A"/>
    <w:rsid w:val="004258B1"/>
    <w:rsid w:val="00425D60"/>
    <w:rsid w:val="0042702B"/>
    <w:rsid w:val="004304B0"/>
    <w:rsid w:val="00432392"/>
    <w:rsid w:val="00434581"/>
    <w:rsid w:val="00435C66"/>
    <w:rsid w:val="0044033C"/>
    <w:rsid w:val="00445A96"/>
    <w:rsid w:val="00446C15"/>
    <w:rsid w:val="00446D8C"/>
    <w:rsid w:val="00453312"/>
    <w:rsid w:val="004625DE"/>
    <w:rsid w:val="00462FD4"/>
    <w:rsid w:val="00463421"/>
    <w:rsid w:val="00464E67"/>
    <w:rsid w:val="004707A0"/>
    <w:rsid w:val="00472BCA"/>
    <w:rsid w:val="00477AA5"/>
    <w:rsid w:val="00481E61"/>
    <w:rsid w:val="00482748"/>
    <w:rsid w:val="00483D35"/>
    <w:rsid w:val="00487490"/>
    <w:rsid w:val="00492173"/>
    <w:rsid w:val="00494233"/>
    <w:rsid w:val="004A0B39"/>
    <w:rsid w:val="004A1071"/>
    <w:rsid w:val="004A2291"/>
    <w:rsid w:val="004A3F51"/>
    <w:rsid w:val="004A5715"/>
    <w:rsid w:val="004A7261"/>
    <w:rsid w:val="004B622A"/>
    <w:rsid w:val="004B7C60"/>
    <w:rsid w:val="004C02D3"/>
    <w:rsid w:val="004C1230"/>
    <w:rsid w:val="004C3C82"/>
    <w:rsid w:val="004C4070"/>
    <w:rsid w:val="004C59C8"/>
    <w:rsid w:val="004D133D"/>
    <w:rsid w:val="004D34F7"/>
    <w:rsid w:val="004D4491"/>
    <w:rsid w:val="004D51F7"/>
    <w:rsid w:val="004D5789"/>
    <w:rsid w:val="004D6370"/>
    <w:rsid w:val="004D6C2E"/>
    <w:rsid w:val="004E10F4"/>
    <w:rsid w:val="004E3936"/>
    <w:rsid w:val="004E5AA8"/>
    <w:rsid w:val="004F46E2"/>
    <w:rsid w:val="004F495D"/>
    <w:rsid w:val="004F4B37"/>
    <w:rsid w:val="004F6989"/>
    <w:rsid w:val="005010FE"/>
    <w:rsid w:val="00501B4D"/>
    <w:rsid w:val="005043D0"/>
    <w:rsid w:val="005065D7"/>
    <w:rsid w:val="005104C0"/>
    <w:rsid w:val="00516214"/>
    <w:rsid w:val="00516956"/>
    <w:rsid w:val="00516C0D"/>
    <w:rsid w:val="0052099D"/>
    <w:rsid w:val="00520EB1"/>
    <w:rsid w:val="00521037"/>
    <w:rsid w:val="00522228"/>
    <w:rsid w:val="00523F27"/>
    <w:rsid w:val="0052673D"/>
    <w:rsid w:val="00532172"/>
    <w:rsid w:val="005323FE"/>
    <w:rsid w:val="00532F1D"/>
    <w:rsid w:val="00534067"/>
    <w:rsid w:val="005343CD"/>
    <w:rsid w:val="00536262"/>
    <w:rsid w:val="0053787C"/>
    <w:rsid w:val="00540034"/>
    <w:rsid w:val="005409B3"/>
    <w:rsid w:val="0054483D"/>
    <w:rsid w:val="00546252"/>
    <w:rsid w:val="00546702"/>
    <w:rsid w:val="005473E1"/>
    <w:rsid w:val="00547CA7"/>
    <w:rsid w:val="00550CF1"/>
    <w:rsid w:val="00552B18"/>
    <w:rsid w:val="0055361D"/>
    <w:rsid w:val="0055452A"/>
    <w:rsid w:val="0055563E"/>
    <w:rsid w:val="00555DE2"/>
    <w:rsid w:val="00561CCC"/>
    <w:rsid w:val="005635B8"/>
    <w:rsid w:val="00565DF4"/>
    <w:rsid w:val="00567A00"/>
    <w:rsid w:val="00575EFC"/>
    <w:rsid w:val="00580354"/>
    <w:rsid w:val="00581313"/>
    <w:rsid w:val="0058208E"/>
    <w:rsid w:val="005830FE"/>
    <w:rsid w:val="00585C56"/>
    <w:rsid w:val="00586388"/>
    <w:rsid w:val="00591860"/>
    <w:rsid w:val="005A528D"/>
    <w:rsid w:val="005B019B"/>
    <w:rsid w:val="005B3ABD"/>
    <w:rsid w:val="005C00BA"/>
    <w:rsid w:val="005C0121"/>
    <w:rsid w:val="005C38C7"/>
    <w:rsid w:val="005C487D"/>
    <w:rsid w:val="005D3485"/>
    <w:rsid w:val="005D3543"/>
    <w:rsid w:val="005D371C"/>
    <w:rsid w:val="005D381B"/>
    <w:rsid w:val="005D4675"/>
    <w:rsid w:val="005E3EFE"/>
    <w:rsid w:val="005E610F"/>
    <w:rsid w:val="005E6FA1"/>
    <w:rsid w:val="005F14E4"/>
    <w:rsid w:val="005F48C7"/>
    <w:rsid w:val="00601898"/>
    <w:rsid w:val="00605C7D"/>
    <w:rsid w:val="00607D03"/>
    <w:rsid w:val="00610693"/>
    <w:rsid w:val="006162F7"/>
    <w:rsid w:val="00620C7F"/>
    <w:rsid w:val="00634B3F"/>
    <w:rsid w:val="0063567E"/>
    <w:rsid w:val="00637C58"/>
    <w:rsid w:val="006443DD"/>
    <w:rsid w:val="00644A7C"/>
    <w:rsid w:val="006473D7"/>
    <w:rsid w:val="00652D89"/>
    <w:rsid w:val="006578C1"/>
    <w:rsid w:val="006605A7"/>
    <w:rsid w:val="006630C6"/>
    <w:rsid w:val="00663DD5"/>
    <w:rsid w:val="006657A4"/>
    <w:rsid w:val="0067087B"/>
    <w:rsid w:val="00671037"/>
    <w:rsid w:val="00672F42"/>
    <w:rsid w:val="00674A9C"/>
    <w:rsid w:val="00675B59"/>
    <w:rsid w:val="006772B2"/>
    <w:rsid w:val="006779FF"/>
    <w:rsid w:val="00681A1C"/>
    <w:rsid w:val="00681B05"/>
    <w:rsid w:val="006846CA"/>
    <w:rsid w:val="00690986"/>
    <w:rsid w:val="00695ADD"/>
    <w:rsid w:val="006A667C"/>
    <w:rsid w:val="006A708B"/>
    <w:rsid w:val="006B0072"/>
    <w:rsid w:val="006B1958"/>
    <w:rsid w:val="006B305F"/>
    <w:rsid w:val="006B362F"/>
    <w:rsid w:val="006B4021"/>
    <w:rsid w:val="006C3A50"/>
    <w:rsid w:val="006C3F2E"/>
    <w:rsid w:val="006D093A"/>
    <w:rsid w:val="006D280F"/>
    <w:rsid w:val="006D308A"/>
    <w:rsid w:val="006D5775"/>
    <w:rsid w:val="006E4997"/>
    <w:rsid w:val="006E5730"/>
    <w:rsid w:val="006F1410"/>
    <w:rsid w:val="006F1E5F"/>
    <w:rsid w:val="006F2769"/>
    <w:rsid w:val="006F43B7"/>
    <w:rsid w:val="006F50E2"/>
    <w:rsid w:val="006F6771"/>
    <w:rsid w:val="00703515"/>
    <w:rsid w:val="007049EE"/>
    <w:rsid w:val="007060E1"/>
    <w:rsid w:val="00707EA8"/>
    <w:rsid w:val="00710B3C"/>
    <w:rsid w:val="00715A07"/>
    <w:rsid w:val="0071687D"/>
    <w:rsid w:val="00721461"/>
    <w:rsid w:val="007230E5"/>
    <w:rsid w:val="00724009"/>
    <w:rsid w:val="00724657"/>
    <w:rsid w:val="0072497F"/>
    <w:rsid w:val="00724A90"/>
    <w:rsid w:val="0072676A"/>
    <w:rsid w:val="007346A2"/>
    <w:rsid w:val="0074335D"/>
    <w:rsid w:val="00743BC9"/>
    <w:rsid w:val="00746C6A"/>
    <w:rsid w:val="00752808"/>
    <w:rsid w:val="00754B3F"/>
    <w:rsid w:val="0075567B"/>
    <w:rsid w:val="00760D74"/>
    <w:rsid w:val="00765103"/>
    <w:rsid w:val="0076685A"/>
    <w:rsid w:val="00771274"/>
    <w:rsid w:val="00772D5B"/>
    <w:rsid w:val="007743CE"/>
    <w:rsid w:val="00774EF7"/>
    <w:rsid w:val="007753AC"/>
    <w:rsid w:val="00780850"/>
    <w:rsid w:val="0078105E"/>
    <w:rsid w:val="00782833"/>
    <w:rsid w:val="00782EE5"/>
    <w:rsid w:val="007832F0"/>
    <w:rsid w:val="007846AB"/>
    <w:rsid w:val="00790E29"/>
    <w:rsid w:val="00792F42"/>
    <w:rsid w:val="00795B60"/>
    <w:rsid w:val="007964BD"/>
    <w:rsid w:val="0079651F"/>
    <w:rsid w:val="00797FB2"/>
    <w:rsid w:val="007A0F5D"/>
    <w:rsid w:val="007A278B"/>
    <w:rsid w:val="007A31B4"/>
    <w:rsid w:val="007A3E0D"/>
    <w:rsid w:val="007A4066"/>
    <w:rsid w:val="007A4BA7"/>
    <w:rsid w:val="007A7363"/>
    <w:rsid w:val="007B13DB"/>
    <w:rsid w:val="007B2E78"/>
    <w:rsid w:val="007B3C14"/>
    <w:rsid w:val="007B44CF"/>
    <w:rsid w:val="007B4BAA"/>
    <w:rsid w:val="007B4D2B"/>
    <w:rsid w:val="007C0354"/>
    <w:rsid w:val="007C155F"/>
    <w:rsid w:val="007C16A8"/>
    <w:rsid w:val="007C2FE3"/>
    <w:rsid w:val="007C45F8"/>
    <w:rsid w:val="007C4BFD"/>
    <w:rsid w:val="007C5068"/>
    <w:rsid w:val="007C68EF"/>
    <w:rsid w:val="007D04E3"/>
    <w:rsid w:val="007D32D1"/>
    <w:rsid w:val="007D3800"/>
    <w:rsid w:val="007D3DE9"/>
    <w:rsid w:val="007D459E"/>
    <w:rsid w:val="007D4BB0"/>
    <w:rsid w:val="007D756B"/>
    <w:rsid w:val="007E18E4"/>
    <w:rsid w:val="007E2034"/>
    <w:rsid w:val="007E550D"/>
    <w:rsid w:val="007E65EB"/>
    <w:rsid w:val="007E6792"/>
    <w:rsid w:val="007F0337"/>
    <w:rsid w:val="007F0585"/>
    <w:rsid w:val="00804C1A"/>
    <w:rsid w:val="00804E23"/>
    <w:rsid w:val="00805D24"/>
    <w:rsid w:val="00806438"/>
    <w:rsid w:val="008101F7"/>
    <w:rsid w:val="008159AB"/>
    <w:rsid w:val="008224CA"/>
    <w:rsid w:val="00822502"/>
    <w:rsid w:val="00822C4D"/>
    <w:rsid w:val="00826880"/>
    <w:rsid w:val="00827512"/>
    <w:rsid w:val="00827E6C"/>
    <w:rsid w:val="008313C3"/>
    <w:rsid w:val="00831BE5"/>
    <w:rsid w:val="00833B7A"/>
    <w:rsid w:val="00833D66"/>
    <w:rsid w:val="0083580A"/>
    <w:rsid w:val="00835BFD"/>
    <w:rsid w:val="0084170D"/>
    <w:rsid w:val="00842225"/>
    <w:rsid w:val="0084645C"/>
    <w:rsid w:val="00847052"/>
    <w:rsid w:val="00850A01"/>
    <w:rsid w:val="00851223"/>
    <w:rsid w:val="008542C5"/>
    <w:rsid w:val="00856089"/>
    <w:rsid w:val="008579E9"/>
    <w:rsid w:val="00857C88"/>
    <w:rsid w:val="00860FD5"/>
    <w:rsid w:val="00874B18"/>
    <w:rsid w:val="0087501B"/>
    <w:rsid w:val="008760BB"/>
    <w:rsid w:val="00884C05"/>
    <w:rsid w:val="0088605E"/>
    <w:rsid w:val="00887EC7"/>
    <w:rsid w:val="00890ED1"/>
    <w:rsid w:val="00891C6C"/>
    <w:rsid w:val="00895AE1"/>
    <w:rsid w:val="008A091F"/>
    <w:rsid w:val="008A169B"/>
    <w:rsid w:val="008A2D47"/>
    <w:rsid w:val="008A2E9B"/>
    <w:rsid w:val="008A5395"/>
    <w:rsid w:val="008A5575"/>
    <w:rsid w:val="008A7171"/>
    <w:rsid w:val="008A71F0"/>
    <w:rsid w:val="008B289F"/>
    <w:rsid w:val="008B7E1C"/>
    <w:rsid w:val="008B7F8F"/>
    <w:rsid w:val="008C27B4"/>
    <w:rsid w:val="008C3219"/>
    <w:rsid w:val="008C47D8"/>
    <w:rsid w:val="008C4F7A"/>
    <w:rsid w:val="008C545A"/>
    <w:rsid w:val="008D4ED8"/>
    <w:rsid w:val="008E083B"/>
    <w:rsid w:val="008E237B"/>
    <w:rsid w:val="008E5318"/>
    <w:rsid w:val="008E6E91"/>
    <w:rsid w:val="008F2C2B"/>
    <w:rsid w:val="008F39AA"/>
    <w:rsid w:val="008F3C62"/>
    <w:rsid w:val="008F6F85"/>
    <w:rsid w:val="00901717"/>
    <w:rsid w:val="0090175A"/>
    <w:rsid w:val="00902A27"/>
    <w:rsid w:val="00906342"/>
    <w:rsid w:val="009119D7"/>
    <w:rsid w:val="00911F6C"/>
    <w:rsid w:val="009136EA"/>
    <w:rsid w:val="00913CE4"/>
    <w:rsid w:val="0091448D"/>
    <w:rsid w:val="009149A7"/>
    <w:rsid w:val="00914ED5"/>
    <w:rsid w:val="0091764C"/>
    <w:rsid w:val="00921A75"/>
    <w:rsid w:val="00922CFE"/>
    <w:rsid w:val="0092442A"/>
    <w:rsid w:val="0092704F"/>
    <w:rsid w:val="00941B4D"/>
    <w:rsid w:val="00942761"/>
    <w:rsid w:val="0094321D"/>
    <w:rsid w:val="0094493B"/>
    <w:rsid w:val="00945DAA"/>
    <w:rsid w:val="009507C8"/>
    <w:rsid w:val="00950A4C"/>
    <w:rsid w:val="009521D7"/>
    <w:rsid w:val="00956608"/>
    <w:rsid w:val="009601F7"/>
    <w:rsid w:val="0096185D"/>
    <w:rsid w:val="00964146"/>
    <w:rsid w:val="00964E32"/>
    <w:rsid w:val="0097220C"/>
    <w:rsid w:val="009729A1"/>
    <w:rsid w:val="00973E90"/>
    <w:rsid w:val="00977DA6"/>
    <w:rsid w:val="009806BA"/>
    <w:rsid w:val="009821F3"/>
    <w:rsid w:val="00983BB3"/>
    <w:rsid w:val="00984391"/>
    <w:rsid w:val="00992F68"/>
    <w:rsid w:val="00993F5D"/>
    <w:rsid w:val="009A0CB7"/>
    <w:rsid w:val="009A2914"/>
    <w:rsid w:val="009A38B1"/>
    <w:rsid w:val="009A46EF"/>
    <w:rsid w:val="009A4B94"/>
    <w:rsid w:val="009A592F"/>
    <w:rsid w:val="009A5F7F"/>
    <w:rsid w:val="009B0C92"/>
    <w:rsid w:val="009B123C"/>
    <w:rsid w:val="009B33E2"/>
    <w:rsid w:val="009B3D18"/>
    <w:rsid w:val="009B608D"/>
    <w:rsid w:val="009C0561"/>
    <w:rsid w:val="009C0F26"/>
    <w:rsid w:val="009C183C"/>
    <w:rsid w:val="009C2A8F"/>
    <w:rsid w:val="009C5C13"/>
    <w:rsid w:val="009C7699"/>
    <w:rsid w:val="009D0A87"/>
    <w:rsid w:val="009D3976"/>
    <w:rsid w:val="009D3CB7"/>
    <w:rsid w:val="009D3FF5"/>
    <w:rsid w:val="009E2E3B"/>
    <w:rsid w:val="009E5593"/>
    <w:rsid w:val="009E6429"/>
    <w:rsid w:val="009E68DC"/>
    <w:rsid w:val="009F05FB"/>
    <w:rsid w:val="009F269D"/>
    <w:rsid w:val="009F6A2F"/>
    <w:rsid w:val="00A01A46"/>
    <w:rsid w:val="00A0307E"/>
    <w:rsid w:val="00A05C32"/>
    <w:rsid w:val="00A063D1"/>
    <w:rsid w:val="00A07F6E"/>
    <w:rsid w:val="00A1065F"/>
    <w:rsid w:val="00A10E04"/>
    <w:rsid w:val="00A13CC6"/>
    <w:rsid w:val="00A171C5"/>
    <w:rsid w:val="00A21092"/>
    <w:rsid w:val="00A22321"/>
    <w:rsid w:val="00A22362"/>
    <w:rsid w:val="00A22C0F"/>
    <w:rsid w:val="00A22E61"/>
    <w:rsid w:val="00A22EF5"/>
    <w:rsid w:val="00A3030C"/>
    <w:rsid w:val="00A32212"/>
    <w:rsid w:val="00A32221"/>
    <w:rsid w:val="00A32E8A"/>
    <w:rsid w:val="00A33E25"/>
    <w:rsid w:val="00A36853"/>
    <w:rsid w:val="00A36B72"/>
    <w:rsid w:val="00A400A7"/>
    <w:rsid w:val="00A409EE"/>
    <w:rsid w:val="00A41D5F"/>
    <w:rsid w:val="00A435C2"/>
    <w:rsid w:val="00A474F7"/>
    <w:rsid w:val="00A51E24"/>
    <w:rsid w:val="00A53E81"/>
    <w:rsid w:val="00A555B6"/>
    <w:rsid w:val="00A55EC4"/>
    <w:rsid w:val="00A572F0"/>
    <w:rsid w:val="00A576E9"/>
    <w:rsid w:val="00A61402"/>
    <w:rsid w:val="00A64182"/>
    <w:rsid w:val="00A64228"/>
    <w:rsid w:val="00A65974"/>
    <w:rsid w:val="00A673D8"/>
    <w:rsid w:val="00A70D99"/>
    <w:rsid w:val="00A70F3F"/>
    <w:rsid w:val="00A76CFB"/>
    <w:rsid w:val="00A76D7D"/>
    <w:rsid w:val="00A77325"/>
    <w:rsid w:val="00A80957"/>
    <w:rsid w:val="00A80D6A"/>
    <w:rsid w:val="00A8410A"/>
    <w:rsid w:val="00A84601"/>
    <w:rsid w:val="00A857E6"/>
    <w:rsid w:val="00A86B2B"/>
    <w:rsid w:val="00A92DF1"/>
    <w:rsid w:val="00A95525"/>
    <w:rsid w:val="00A9566D"/>
    <w:rsid w:val="00A9580D"/>
    <w:rsid w:val="00AA04B9"/>
    <w:rsid w:val="00AA2885"/>
    <w:rsid w:val="00AA2FD5"/>
    <w:rsid w:val="00AA4ABA"/>
    <w:rsid w:val="00AB407B"/>
    <w:rsid w:val="00AB57C5"/>
    <w:rsid w:val="00AC1C76"/>
    <w:rsid w:val="00AC36ED"/>
    <w:rsid w:val="00AC5D30"/>
    <w:rsid w:val="00AC60A5"/>
    <w:rsid w:val="00AC669A"/>
    <w:rsid w:val="00AD0550"/>
    <w:rsid w:val="00AD23C0"/>
    <w:rsid w:val="00AD279C"/>
    <w:rsid w:val="00AD2B51"/>
    <w:rsid w:val="00AE1350"/>
    <w:rsid w:val="00AE256F"/>
    <w:rsid w:val="00AF25E9"/>
    <w:rsid w:val="00AF7143"/>
    <w:rsid w:val="00B015DB"/>
    <w:rsid w:val="00B01F65"/>
    <w:rsid w:val="00B026A1"/>
    <w:rsid w:val="00B041B3"/>
    <w:rsid w:val="00B06848"/>
    <w:rsid w:val="00B06F06"/>
    <w:rsid w:val="00B07167"/>
    <w:rsid w:val="00B07C3E"/>
    <w:rsid w:val="00B104E7"/>
    <w:rsid w:val="00B143F0"/>
    <w:rsid w:val="00B152DA"/>
    <w:rsid w:val="00B15941"/>
    <w:rsid w:val="00B159B9"/>
    <w:rsid w:val="00B21989"/>
    <w:rsid w:val="00B22CF7"/>
    <w:rsid w:val="00B23DA3"/>
    <w:rsid w:val="00B26E52"/>
    <w:rsid w:val="00B303CB"/>
    <w:rsid w:val="00B31581"/>
    <w:rsid w:val="00B328ED"/>
    <w:rsid w:val="00B33618"/>
    <w:rsid w:val="00B3707D"/>
    <w:rsid w:val="00B4036C"/>
    <w:rsid w:val="00B42CA4"/>
    <w:rsid w:val="00B42D52"/>
    <w:rsid w:val="00B44508"/>
    <w:rsid w:val="00B446CF"/>
    <w:rsid w:val="00B46DB1"/>
    <w:rsid w:val="00B47331"/>
    <w:rsid w:val="00B4748D"/>
    <w:rsid w:val="00B5017D"/>
    <w:rsid w:val="00B521CF"/>
    <w:rsid w:val="00B5315F"/>
    <w:rsid w:val="00B54AD1"/>
    <w:rsid w:val="00B54EA2"/>
    <w:rsid w:val="00B55400"/>
    <w:rsid w:val="00B55869"/>
    <w:rsid w:val="00B56BCC"/>
    <w:rsid w:val="00B57643"/>
    <w:rsid w:val="00B60AE6"/>
    <w:rsid w:val="00B6248B"/>
    <w:rsid w:val="00B66B76"/>
    <w:rsid w:val="00B67686"/>
    <w:rsid w:val="00B7353B"/>
    <w:rsid w:val="00B7506D"/>
    <w:rsid w:val="00B82C26"/>
    <w:rsid w:val="00B832AF"/>
    <w:rsid w:val="00B90C34"/>
    <w:rsid w:val="00B95182"/>
    <w:rsid w:val="00B95B9B"/>
    <w:rsid w:val="00B97228"/>
    <w:rsid w:val="00B978EF"/>
    <w:rsid w:val="00BA5A58"/>
    <w:rsid w:val="00BA7614"/>
    <w:rsid w:val="00BB336D"/>
    <w:rsid w:val="00BB62A5"/>
    <w:rsid w:val="00BB692E"/>
    <w:rsid w:val="00BB749A"/>
    <w:rsid w:val="00BC0FA2"/>
    <w:rsid w:val="00BD25F2"/>
    <w:rsid w:val="00BD3D5D"/>
    <w:rsid w:val="00BD4CC9"/>
    <w:rsid w:val="00BD5202"/>
    <w:rsid w:val="00BD52EC"/>
    <w:rsid w:val="00BD65F1"/>
    <w:rsid w:val="00BD7CDA"/>
    <w:rsid w:val="00BE1944"/>
    <w:rsid w:val="00BE2EB2"/>
    <w:rsid w:val="00BE34DC"/>
    <w:rsid w:val="00BE38DA"/>
    <w:rsid w:val="00BE51B4"/>
    <w:rsid w:val="00BF4725"/>
    <w:rsid w:val="00BF676D"/>
    <w:rsid w:val="00C0094C"/>
    <w:rsid w:val="00C01761"/>
    <w:rsid w:val="00C0327D"/>
    <w:rsid w:val="00C03738"/>
    <w:rsid w:val="00C041C9"/>
    <w:rsid w:val="00C05F4E"/>
    <w:rsid w:val="00C07A34"/>
    <w:rsid w:val="00C1008D"/>
    <w:rsid w:val="00C14B8F"/>
    <w:rsid w:val="00C16801"/>
    <w:rsid w:val="00C16C72"/>
    <w:rsid w:val="00C222E8"/>
    <w:rsid w:val="00C24421"/>
    <w:rsid w:val="00C26876"/>
    <w:rsid w:val="00C27768"/>
    <w:rsid w:val="00C37672"/>
    <w:rsid w:val="00C37BB1"/>
    <w:rsid w:val="00C421DB"/>
    <w:rsid w:val="00C423F6"/>
    <w:rsid w:val="00C46232"/>
    <w:rsid w:val="00C47881"/>
    <w:rsid w:val="00C56C49"/>
    <w:rsid w:val="00C63A8A"/>
    <w:rsid w:val="00C6511F"/>
    <w:rsid w:val="00C65205"/>
    <w:rsid w:val="00C65DA1"/>
    <w:rsid w:val="00C66E72"/>
    <w:rsid w:val="00C67C28"/>
    <w:rsid w:val="00C72D98"/>
    <w:rsid w:val="00C742D5"/>
    <w:rsid w:val="00C75058"/>
    <w:rsid w:val="00C762E5"/>
    <w:rsid w:val="00C801C2"/>
    <w:rsid w:val="00C82B2F"/>
    <w:rsid w:val="00C83036"/>
    <w:rsid w:val="00C86BD9"/>
    <w:rsid w:val="00C9135C"/>
    <w:rsid w:val="00C92427"/>
    <w:rsid w:val="00C92D1E"/>
    <w:rsid w:val="00C94CA6"/>
    <w:rsid w:val="00C94F92"/>
    <w:rsid w:val="00CA0A6B"/>
    <w:rsid w:val="00CA2DA3"/>
    <w:rsid w:val="00CA2E58"/>
    <w:rsid w:val="00CA3507"/>
    <w:rsid w:val="00CA3A50"/>
    <w:rsid w:val="00CA5793"/>
    <w:rsid w:val="00CA5A0A"/>
    <w:rsid w:val="00CA675B"/>
    <w:rsid w:val="00CB081F"/>
    <w:rsid w:val="00CB0D85"/>
    <w:rsid w:val="00CB0FD1"/>
    <w:rsid w:val="00CB1A9B"/>
    <w:rsid w:val="00CB1D6C"/>
    <w:rsid w:val="00CB282C"/>
    <w:rsid w:val="00CB3D45"/>
    <w:rsid w:val="00CB6FDE"/>
    <w:rsid w:val="00CC3F36"/>
    <w:rsid w:val="00CC4745"/>
    <w:rsid w:val="00CC49E5"/>
    <w:rsid w:val="00CC70DE"/>
    <w:rsid w:val="00CD0054"/>
    <w:rsid w:val="00CD0223"/>
    <w:rsid w:val="00CD43E4"/>
    <w:rsid w:val="00CD6885"/>
    <w:rsid w:val="00CE18AB"/>
    <w:rsid w:val="00CE3514"/>
    <w:rsid w:val="00CE3CCF"/>
    <w:rsid w:val="00CE5A5F"/>
    <w:rsid w:val="00CF0D78"/>
    <w:rsid w:val="00CF24C2"/>
    <w:rsid w:val="00D03955"/>
    <w:rsid w:val="00D1046C"/>
    <w:rsid w:val="00D14D55"/>
    <w:rsid w:val="00D153F5"/>
    <w:rsid w:val="00D17C39"/>
    <w:rsid w:val="00D20816"/>
    <w:rsid w:val="00D2107A"/>
    <w:rsid w:val="00D21665"/>
    <w:rsid w:val="00D22E3F"/>
    <w:rsid w:val="00D23425"/>
    <w:rsid w:val="00D23B7C"/>
    <w:rsid w:val="00D331D6"/>
    <w:rsid w:val="00D355DC"/>
    <w:rsid w:val="00D3619D"/>
    <w:rsid w:val="00D374CD"/>
    <w:rsid w:val="00D41A9F"/>
    <w:rsid w:val="00D43D36"/>
    <w:rsid w:val="00D504E5"/>
    <w:rsid w:val="00D55BEC"/>
    <w:rsid w:val="00D60CFB"/>
    <w:rsid w:val="00D621C5"/>
    <w:rsid w:val="00D67D40"/>
    <w:rsid w:val="00D71562"/>
    <w:rsid w:val="00D73FBC"/>
    <w:rsid w:val="00D756BC"/>
    <w:rsid w:val="00D779D6"/>
    <w:rsid w:val="00D80550"/>
    <w:rsid w:val="00D80AFC"/>
    <w:rsid w:val="00D81AD4"/>
    <w:rsid w:val="00D81B0C"/>
    <w:rsid w:val="00D85F07"/>
    <w:rsid w:val="00D8699E"/>
    <w:rsid w:val="00D91EA0"/>
    <w:rsid w:val="00D97431"/>
    <w:rsid w:val="00DA2164"/>
    <w:rsid w:val="00DA27DE"/>
    <w:rsid w:val="00DA4313"/>
    <w:rsid w:val="00DA630E"/>
    <w:rsid w:val="00DA6393"/>
    <w:rsid w:val="00DA6666"/>
    <w:rsid w:val="00DA7E48"/>
    <w:rsid w:val="00DB2757"/>
    <w:rsid w:val="00DB2BC1"/>
    <w:rsid w:val="00DB3760"/>
    <w:rsid w:val="00DB38FD"/>
    <w:rsid w:val="00DB7D93"/>
    <w:rsid w:val="00DC2249"/>
    <w:rsid w:val="00DC3E3C"/>
    <w:rsid w:val="00DC4D6E"/>
    <w:rsid w:val="00DC597F"/>
    <w:rsid w:val="00DC741E"/>
    <w:rsid w:val="00DC778A"/>
    <w:rsid w:val="00DD20AD"/>
    <w:rsid w:val="00DD2617"/>
    <w:rsid w:val="00DD6819"/>
    <w:rsid w:val="00DD693E"/>
    <w:rsid w:val="00DD6FBA"/>
    <w:rsid w:val="00DE32F2"/>
    <w:rsid w:val="00DE6364"/>
    <w:rsid w:val="00DE6534"/>
    <w:rsid w:val="00DE675E"/>
    <w:rsid w:val="00DF26F9"/>
    <w:rsid w:val="00DF5CDF"/>
    <w:rsid w:val="00DF632B"/>
    <w:rsid w:val="00DF7EB5"/>
    <w:rsid w:val="00E00C67"/>
    <w:rsid w:val="00E02179"/>
    <w:rsid w:val="00E03451"/>
    <w:rsid w:val="00E039F9"/>
    <w:rsid w:val="00E05684"/>
    <w:rsid w:val="00E07781"/>
    <w:rsid w:val="00E10E90"/>
    <w:rsid w:val="00E14D5C"/>
    <w:rsid w:val="00E167C6"/>
    <w:rsid w:val="00E1705B"/>
    <w:rsid w:val="00E25D03"/>
    <w:rsid w:val="00E260E0"/>
    <w:rsid w:val="00E30759"/>
    <w:rsid w:val="00E347B5"/>
    <w:rsid w:val="00E42229"/>
    <w:rsid w:val="00E42D25"/>
    <w:rsid w:val="00E43C9F"/>
    <w:rsid w:val="00E457D2"/>
    <w:rsid w:val="00E52EFD"/>
    <w:rsid w:val="00E5579D"/>
    <w:rsid w:val="00E63EAC"/>
    <w:rsid w:val="00E70583"/>
    <w:rsid w:val="00E75207"/>
    <w:rsid w:val="00E82091"/>
    <w:rsid w:val="00E82B2D"/>
    <w:rsid w:val="00E830B3"/>
    <w:rsid w:val="00E87AE3"/>
    <w:rsid w:val="00E9053D"/>
    <w:rsid w:val="00E92BC4"/>
    <w:rsid w:val="00E97746"/>
    <w:rsid w:val="00EA1CC1"/>
    <w:rsid w:val="00EA23CA"/>
    <w:rsid w:val="00EA23F3"/>
    <w:rsid w:val="00EA2414"/>
    <w:rsid w:val="00EA2D63"/>
    <w:rsid w:val="00EB268B"/>
    <w:rsid w:val="00EB39B3"/>
    <w:rsid w:val="00EB4858"/>
    <w:rsid w:val="00EB54F7"/>
    <w:rsid w:val="00EC02E7"/>
    <w:rsid w:val="00EC177D"/>
    <w:rsid w:val="00EC43DA"/>
    <w:rsid w:val="00EC6CD0"/>
    <w:rsid w:val="00EC765F"/>
    <w:rsid w:val="00EC77CD"/>
    <w:rsid w:val="00ED0BA4"/>
    <w:rsid w:val="00EE122D"/>
    <w:rsid w:val="00EE46A4"/>
    <w:rsid w:val="00EE5D4F"/>
    <w:rsid w:val="00EE656F"/>
    <w:rsid w:val="00EE7042"/>
    <w:rsid w:val="00EF5A12"/>
    <w:rsid w:val="00EF6D5C"/>
    <w:rsid w:val="00EF78C7"/>
    <w:rsid w:val="00EF7BFA"/>
    <w:rsid w:val="00F002C1"/>
    <w:rsid w:val="00F01D16"/>
    <w:rsid w:val="00F01D66"/>
    <w:rsid w:val="00F01EED"/>
    <w:rsid w:val="00F02DC2"/>
    <w:rsid w:val="00F06A13"/>
    <w:rsid w:val="00F12447"/>
    <w:rsid w:val="00F13357"/>
    <w:rsid w:val="00F157A8"/>
    <w:rsid w:val="00F165BF"/>
    <w:rsid w:val="00F20ED0"/>
    <w:rsid w:val="00F21607"/>
    <w:rsid w:val="00F25455"/>
    <w:rsid w:val="00F27442"/>
    <w:rsid w:val="00F35F39"/>
    <w:rsid w:val="00F36D12"/>
    <w:rsid w:val="00F4067D"/>
    <w:rsid w:val="00F4137F"/>
    <w:rsid w:val="00F458F8"/>
    <w:rsid w:val="00F53EAF"/>
    <w:rsid w:val="00F544DE"/>
    <w:rsid w:val="00F551D2"/>
    <w:rsid w:val="00F57147"/>
    <w:rsid w:val="00F60980"/>
    <w:rsid w:val="00F616A0"/>
    <w:rsid w:val="00F620A5"/>
    <w:rsid w:val="00F63570"/>
    <w:rsid w:val="00F64819"/>
    <w:rsid w:val="00F64A31"/>
    <w:rsid w:val="00F65B17"/>
    <w:rsid w:val="00F6732E"/>
    <w:rsid w:val="00F74431"/>
    <w:rsid w:val="00F75110"/>
    <w:rsid w:val="00F80383"/>
    <w:rsid w:val="00F81A98"/>
    <w:rsid w:val="00F83D68"/>
    <w:rsid w:val="00F86BDC"/>
    <w:rsid w:val="00F87426"/>
    <w:rsid w:val="00F900E1"/>
    <w:rsid w:val="00F90957"/>
    <w:rsid w:val="00F91B79"/>
    <w:rsid w:val="00F93F5E"/>
    <w:rsid w:val="00FA52DF"/>
    <w:rsid w:val="00FA6E07"/>
    <w:rsid w:val="00FB1CAB"/>
    <w:rsid w:val="00FB24C4"/>
    <w:rsid w:val="00FB40C3"/>
    <w:rsid w:val="00FB4B3F"/>
    <w:rsid w:val="00FB638E"/>
    <w:rsid w:val="00FC343A"/>
    <w:rsid w:val="00FC6B7B"/>
    <w:rsid w:val="00FD4306"/>
    <w:rsid w:val="00FD45A9"/>
    <w:rsid w:val="00FD6391"/>
    <w:rsid w:val="00FE03E7"/>
    <w:rsid w:val="00FE203B"/>
    <w:rsid w:val="00FE4659"/>
    <w:rsid w:val="00FE6802"/>
    <w:rsid w:val="00FE7590"/>
    <w:rsid w:val="00FF0CB7"/>
    <w:rsid w:val="00FF5D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B91C"/>
  <w15:docId w15:val="{535E9411-CE40-4BAE-8A1A-4C9B5177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CA6"/>
  </w:style>
  <w:style w:type="paragraph" w:styleId="Balk3">
    <w:name w:val="heading 3"/>
    <w:basedOn w:val="Normal"/>
    <w:next w:val="Normal"/>
    <w:link w:val="Balk3Char"/>
    <w:uiPriority w:val="9"/>
    <w:semiHidden/>
    <w:unhideWhenUsed/>
    <w:qFormat/>
    <w:rsid w:val="00B90C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semiHidden/>
    <w:unhideWhenUsed/>
    <w:qFormat/>
    <w:rsid w:val="001E574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7">
    <w:name w:val="heading 7"/>
    <w:basedOn w:val="Normal"/>
    <w:next w:val="Normal"/>
    <w:link w:val="Balk7Char"/>
    <w:uiPriority w:val="9"/>
    <w:unhideWhenUsed/>
    <w:qFormat/>
    <w:rsid w:val="0067087B"/>
    <w:pPr>
      <w:spacing w:before="240" w:after="60"/>
      <w:jc w:val="both"/>
      <w:outlineLvl w:val="6"/>
    </w:pPr>
    <w:rPr>
      <w:rFonts w:ascii="Palatino Linotype" w:eastAsia="Times New Roman" w:hAnsi="Palatino Linotype" w:cs="Times New Roman"/>
      <w:b/>
      <w:sz w:val="24"/>
      <w:szCs w:val="24"/>
      <w:lang w:eastAsia="zh-C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link w:val="BelgeBalantlarChar"/>
    <w:uiPriority w:val="99"/>
    <w:semiHidden/>
    <w:unhideWhenUsed/>
    <w:rsid w:val="00C16801"/>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C16801"/>
    <w:rPr>
      <w:rFonts w:ascii="Tahoma" w:hAnsi="Tahoma" w:cs="Tahoma"/>
      <w:sz w:val="16"/>
      <w:szCs w:val="16"/>
    </w:rPr>
  </w:style>
  <w:style w:type="paragraph" w:styleId="ListeParagraf">
    <w:name w:val="List Paragraph"/>
    <w:basedOn w:val="Normal"/>
    <w:uiPriority w:val="34"/>
    <w:qFormat/>
    <w:rsid w:val="00EB4858"/>
    <w:pPr>
      <w:ind w:left="720"/>
      <w:contextualSpacing/>
    </w:pPr>
  </w:style>
  <w:style w:type="paragraph" w:styleId="BalonMetni">
    <w:name w:val="Balloon Text"/>
    <w:basedOn w:val="Normal"/>
    <w:link w:val="BalonMetniChar"/>
    <w:uiPriority w:val="99"/>
    <w:semiHidden/>
    <w:unhideWhenUsed/>
    <w:rsid w:val="00DC3E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3E3C"/>
    <w:rPr>
      <w:rFonts w:ascii="Tahoma" w:hAnsi="Tahoma" w:cs="Tahoma"/>
      <w:sz w:val="16"/>
      <w:szCs w:val="16"/>
    </w:rPr>
  </w:style>
  <w:style w:type="paragraph" w:styleId="stBilgi">
    <w:name w:val="header"/>
    <w:basedOn w:val="Normal"/>
    <w:link w:val="stBilgiChar"/>
    <w:uiPriority w:val="99"/>
    <w:unhideWhenUsed/>
    <w:rsid w:val="00374FF4"/>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374FF4"/>
  </w:style>
  <w:style w:type="paragraph" w:styleId="AltBilgi">
    <w:name w:val="footer"/>
    <w:basedOn w:val="Normal"/>
    <w:link w:val="AltBilgiChar"/>
    <w:uiPriority w:val="99"/>
    <w:unhideWhenUsed/>
    <w:rsid w:val="00374FF4"/>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374FF4"/>
  </w:style>
  <w:style w:type="paragraph" w:customStyle="1" w:styleId="JuPara">
    <w:name w:val="Ju_Para"/>
    <w:aliases w:val="_Para"/>
    <w:basedOn w:val="Normal"/>
    <w:link w:val="JuParaChar"/>
    <w:uiPriority w:val="4"/>
    <w:qFormat/>
    <w:rsid w:val="009C0F26"/>
    <w:pPr>
      <w:spacing w:after="0" w:line="240" w:lineRule="auto"/>
      <w:ind w:firstLine="284"/>
      <w:jc w:val="both"/>
    </w:pPr>
    <w:rPr>
      <w:sz w:val="24"/>
      <w:szCs w:val="24"/>
      <w:lang w:val="en-GB"/>
    </w:rPr>
  </w:style>
  <w:style w:type="character" w:customStyle="1" w:styleId="JuParaChar">
    <w:name w:val="Ju_Para Char"/>
    <w:aliases w:val="_Para Char"/>
    <w:link w:val="JuPara"/>
    <w:uiPriority w:val="4"/>
    <w:locked/>
    <w:rsid w:val="009C0F26"/>
    <w:rPr>
      <w:sz w:val="24"/>
      <w:szCs w:val="24"/>
      <w:lang w:val="en-GB"/>
    </w:rPr>
  </w:style>
  <w:style w:type="character" w:styleId="Vurgu">
    <w:name w:val="Emphasis"/>
    <w:basedOn w:val="VarsaylanParagrafYazTipi"/>
    <w:uiPriority w:val="20"/>
    <w:qFormat/>
    <w:rsid w:val="00607D03"/>
    <w:rPr>
      <w:i/>
      <w:iCs/>
    </w:rPr>
  </w:style>
  <w:style w:type="character" w:customStyle="1" w:styleId="sb8d990e2">
    <w:name w:val="sb8d990e2"/>
    <w:rsid w:val="00B041B3"/>
  </w:style>
  <w:style w:type="character" w:customStyle="1" w:styleId="s6b621b36">
    <w:name w:val="s6b621b36"/>
    <w:basedOn w:val="VarsaylanParagrafYazTipi"/>
    <w:rsid w:val="007049EE"/>
  </w:style>
  <w:style w:type="character" w:styleId="Kpr">
    <w:name w:val="Hyperlink"/>
    <w:basedOn w:val="VarsaylanParagrafYazTipi"/>
    <w:uiPriority w:val="99"/>
    <w:semiHidden/>
    <w:unhideWhenUsed/>
    <w:rsid w:val="007049EE"/>
    <w:rPr>
      <w:color w:val="0000FF"/>
      <w:u w:val="single"/>
    </w:rPr>
  </w:style>
  <w:style w:type="paragraph" w:styleId="DipnotMetni">
    <w:name w:val="footnote text"/>
    <w:aliases w:val="Dipnot Metni Char Char Char Char,Dipnot Metni Char Char Char"/>
    <w:basedOn w:val="Normal"/>
    <w:link w:val="DipnotMetniChar"/>
    <w:uiPriority w:val="99"/>
    <w:unhideWhenUsed/>
    <w:rsid w:val="00043E3C"/>
    <w:pPr>
      <w:jc w:val="both"/>
    </w:pPr>
    <w:rPr>
      <w:rFonts w:ascii="Times New Roman" w:eastAsia="SimSun" w:hAnsi="Times New Roman" w:cs="Times New Roman"/>
      <w:sz w:val="20"/>
      <w:szCs w:val="20"/>
      <w:lang w:eastAsia="zh-CN"/>
    </w:rPr>
  </w:style>
  <w:style w:type="character" w:customStyle="1" w:styleId="DipnotMetniChar">
    <w:name w:val="Dipnot Metni Char"/>
    <w:aliases w:val="Dipnot Metni Char Char Char Char Char,Dipnot Metni Char Char Char Char1"/>
    <w:basedOn w:val="VarsaylanParagrafYazTipi"/>
    <w:link w:val="DipnotMetni"/>
    <w:uiPriority w:val="99"/>
    <w:rsid w:val="00043E3C"/>
    <w:rPr>
      <w:rFonts w:ascii="Times New Roman" w:eastAsia="SimSun" w:hAnsi="Times New Roman" w:cs="Times New Roman"/>
      <w:sz w:val="20"/>
      <w:szCs w:val="20"/>
      <w:lang w:eastAsia="zh-CN"/>
    </w:rPr>
  </w:style>
  <w:style w:type="character" w:styleId="DipnotBavurusu">
    <w:name w:val="footnote reference"/>
    <w:aliases w:val="4_G,Footnotes refss,Appel note de bas de p.,Footnote text,ftref"/>
    <w:uiPriority w:val="99"/>
    <w:unhideWhenUsed/>
    <w:qFormat/>
    <w:rsid w:val="00043E3C"/>
    <w:rPr>
      <w:rFonts w:ascii="Calibri" w:eastAsia="SimSun" w:hAnsi="Calibri" w:cs="Times New Roman"/>
      <w:vertAlign w:val="superscript"/>
    </w:rPr>
  </w:style>
  <w:style w:type="paragraph" w:styleId="DzMetin">
    <w:name w:val="Plain Text"/>
    <w:basedOn w:val="Normal"/>
    <w:link w:val="DzMetinChar"/>
    <w:rsid w:val="006B1958"/>
    <w:pPr>
      <w:spacing w:after="0" w:line="240" w:lineRule="auto"/>
      <w:jc w:val="both"/>
    </w:pPr>
    <w:rPr>
      <w:rFonts w:ascii="Courier New" w:eastAsia="Times New Roman" w:hAnsi="Courier New" w:cs="Times New Roman"/>
      <w:sz w:val="20"/>
      <w:szCs w:val="20"/>
      <w:lang w:eastAsia="zh-CN"/>
    </w:rPr>
  </w:style>
  <w:style w:type="character" w:customStyle="1" w:styleId="DzMetinChar">
    <w:name w:val="Düz Metin Char"/>
    <w:basedOn w:val="VarsaylanParagrafYazTipi"/>
    <w:link w:val="DzMetin"/>
    <w:rsid w:val="006B1958"/>
    <w:rPr>
      <w:rFonts w:ascii="Courier New" w:eastAsia="Times New Roman" w:hAnsi="Courier New" w:cs="Times New Roman"/>
      <w:sz w:val="20"/>
      <w:szCs w:val="20"/>
      <w:lang w:eastAsia="zh-CN"/>
    </w:rPr>
  </w:style>
  <w:style w:type="paragraph" w:customStyle="1" w:styleId="DIPSON">
    <w:name w:val="DIP SON"/>
    <w:basedOn w:val="Normal"/>
    <w:uiPriority w:val="99"/>
    <w:rsid w:val="0067087B"/>
    <w:pPr>
      <w:keepLines/>
      <w:autoSpaceDE w:val="0"/>
      <w:autoSpaceDN w:val="0"/>
      <w:adjustRightInd w:val="0"/>
      <w:spacing w:after="0" w:line="288" w:lineRule="auto"/>
      <w:ind w:left="283" w:hanging="283"/>
      <w:jc w:val="both"/>
      <w:textAlignment w:val="center"/>
    </w:pPr>
    <w:rPr>
      <w:rFonts w:ascii="Palatino Linotype" w:eastAsia="Calibri" w:hAnsi="Palatino Linotype" w:cs="Palatino Linotype"/>
      <w:color w:val="000000"/>
      <w:sz w:val="16"/>
      <w:szCs w:val="16"/>
    </w:rPr>
  </w:style>
  <w:style w:type="character" w:customStyle="1" w:styleId="Balk7Char">
    <w:name w:val="Başlık 7 Char"/>
    <w:basedOn w:val="VarsaylanParagrafYazTipi"/>
    <w:link w:val="Balk7"/>
    <w:uiPriority w:val="9"/>
    <w:rsid w:val="0067087B"/>
    <w:rPr>
      <w:rFonts w:ascii="Palatino Linotype" w:eastAsia="Times New Roman" w:hAnsi="Palatino Linotype" w:cs="Times New Roman"/>
      <w:b/>
      <w:sz w:val="24"/>
      <w:szCs w:val="24"/>
      <w:lang w:eastAsia="zh-CN"/>
    </w:rPr>
  </w:style>
  <w:style w:type="character" w:styleId="HafifVurgulama">
    <w:name w:val="Subtle Emphasis"/>
    <w:basedOn w:val="VarsaylanParagrafYazTipi"/>
    <w:uiPriority w:val="99"/>
    <w:qFormat/>
    <w:rsid w:val="0076685A"/>
    <w:rPr>
      <w:rFonts w:ascii="Calibri" w:eastAsia="SimSun" w:hAnsi="Calibri" w:cs="Times New Roman"/>
      <w:i/>
      <w:iCs/>
      <w:color w:val="808080"/>
    </w:rPr>
  </w:style>
  <w:style w:type="paragraph" w:customStyle="1" w:styleId="Default">
    <w:name w:val="Default"/>
    <w:rsid w:val="00B60AE6"/>
    <w:pPr>
      <w:autoSpaceDE w:val="0"/>
      <w:autoSpaceDN w:val="0"/>
      <w:adjustRightInd w:val="0"/>
      <w:spacing w:after="0" w:line="240" w:lineRule="auto"/>
    </w:pPr>
    <w:rPr>
      <w:rFonts w:ascii="Times New Roman" w:eastAsia="SimSun" w:hAnsi="Times New Roman" w:cs="Times New Roman"/>
      <w:color w:val="000000"/>
      <w:sz w:val="24"/>
      <w:szCs w:val="24"/>
      <w:lang w:eastAsia="tr-TR"/>
    </w:rPr>
  </w:style>
  <w:style w:type="paragraph" w:styleId="NormalWeb">
    <w:name w:val="Normal (Web)"/>
    <w:basedOn w:val="Normal"/>
    <w:uiPriority w:val="99"/>
    <w:unhideWhenUsed/>
    <w:rsid w:val="000D044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vl-default">
    <w:name w:val="hvl-default"/>
    <w:rsid w:val="000A7B71"/>
    <w:pPr>
      <w:widowControl w:val="0"/>
      <w:suppressAutoHyphens/>
      <w:spacing w:after="0" w:line="240" w:lineRule="auto"/>
    </w:pPr>
    <w:rPr>
      <w:rFonts w:ascii="Times New Roman" w:eastAsia="Andale Sans UI" w:hAnsi="Times New Roman" w:cs="Tahoma"/>
      <w:kern w:val="1"/>
      <w:sz w:val="24"/>
      <w:szCs w:val="24"/>
      <w:lang w:val="de-DE" w:eastAsia="fa-IR" w:bidi="fa-IR"/>
    </w:rPr>
  </w:style>
  <w:style w:type="paragraph" w:styleId="Alnt">
    <w:name w:val="Quote"/>
    <w:basedOn w:val="Normal"/>
    <w:next w:val="Normal"/>
    <w:link w:val="AlntChar"/>
    <w:uiPriority w:val="29"/>
    <w:qFormat/>
    <w:rsid w:val="000C70E8"/>
    <w:pPr>
      <w:spacing w:before="200" w:after="160"/>
      <w:ind w:left="864" w:right="864"/>
      <w:jc w:val="center"/>
    </w:pPr>
    <w:rPr>
      <w:rFonts w:ascii="Times New Roman" w:eastAsia="SimSun" w:hAnsi="Times New Roman" w:cs="Times New Roman"/>
      <w:i/>
      <w:iCs/>
      <w:color w:val="000000"/>
      <w:sz w:val="28"/>
      <w:lang w:eastAsia="zh-CN"/>
    </w:rPr>
  </w:style>
  <w:style w:type="character" w:customStyle="1" w:styleId="AlntChar">
    <w:name w:val="Alıntı Char"/>
    <w:link w:val="Alnt"/>
    <w:uiPriority w:val="29"/>
    <w:rsid w:val="000C70E8"/>
    <w:rPr>
      <w:rFonts w:ascii="Times New Roman" w:eastAsia="SimSun" w:hAnsi="Times New Roman" w:cs="Times New Roman"/>
      <w:i/>
      <w:iCs/>
      <w:color w:val="000000"/>
      <w:sz w:val="28"/>
      <w:szCs w:val="22"/>
      <w:lang w:eastAsia="zh-CN"/>
    </w:rPr>
  </w:style>
  <w:style w:type="character" w:customStyle="1" w:styleId="AlntChar1">
    <w:name w:val="Alıntı Char1"/>
    <w:basedOn w:val="VarsaylanParagrafYazTipi"/>
    <w:uiPriority w:val="29"/>
    <w:rsid w:val="000C70E8"/>
    <w:rPr>
      <w:i/>
      <w:iCs/>
      <w:color w:val="404040" w:themeColor="text1" w:themeTint="BF"/>
    </w:rPr>
  </w:style>
  <w:style w:type="character" w:styleId="Gl">
    <w:name w:val="Strong"/>
    <w:basedOn w:val="VarsaylanParagrafYazTipi"/>
    <w:uiPriority w:val="22"/>
    <w:qFormat/>
    <w:rsid w:val="008159AB"/>
    <w:rPr>
      <w:b/>
      <w:bCs/>
    </w:rPr>
  </w:style>
  <w:style w:type="character" w:customStyle="1" w:styleId="column">
    <w:name w:val="column"/>
    <w:basedOn w:val="VarsaylanParagrafYazTipi"/>
    <w:rsid w:val="008D4ED8"/>
  </w:style>
  <w:style w:type="paragraph" w:styleId="Dzeltme">
    <w:name w:val="Revision"/>
    <w:hidden/>
    <w:uiPriority w:val="99"/>
    <w:semiHidden/>
    <w:rsid w:val="000C7647"/>
    <w:pPr>
      <w:spacing w:after="0" w:line="240" w:lineRule="auto"/>
    </w:pPr>
  </w:style>
  <w:style w:type="character" w:customStyle="1" w:styleId="Balk3Char">
    <w:name w:val="Başlık 3 Char"/>
    <w:basedOn w:val="VarsaylanParagrafYazTipi"/>
    <w:link w:val="Balk3"/>
    <w:uiPriority w:val="9"/>
    <w:semiHidden/>
    <w:rsid w:val="00B90C34"/>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semiHidden/>
    <w:rsid w:val="001E574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3103">
      <w:bodyDiv w:val="1"/>
      <w:marLeft w:val="0"/>
      <w:marRight w:val="0"/>
      <w:marTop w:val="0"/>
      <w:marBottom w:val="0"/>
      <w:divBdr>
        <w:top w:val="none" w:sz="0" w:space="0" w:color="auto"/>
        <w:left w:val="none" w:sz="0" w:space="0" w:color="auto"/>
        <w:bottom w:val="none" w:sz="0" w:space="0" w:color="auto"/>
        <w:right w:val="none" w:sz="0" w:space="0" w:color="auto"/>
      </w:divBdr>
    </w:div>
    <w:div w:id="172644357">
      <w:bodyDiv w:val="1"/>
      <w:marLeft w:val="0"/>
      <w:marRight w:val="0"/>
      <w:marTop w:val="0"/>
      <w:marBottom w:val="0"/>
      <w:divBdr>
        <w:top w:val="none" w:sz="0" w:space="0" w:color="auto"/>
        <w:left w:val="none" w:sz="0" w:space="0" w:color="auto"/>
        <w:bottom w:val="none" w:sz="0" w:space="0" w:color="auto"/>
        <w:right w:val="none" w:sz="0" w:space="0" w:color="auto"/>
      </w:divBdr>
    </w:div>
    <w:div w:id="286787638">
      <w:bodyDiv w:val="1"/>
      <w:marLeft w:val="0"/>
      <w:marRight w:val="0"/>
      <w:marTop w:val="0"/>
      <w:marBottom w:val="0"/>
      <w:divBdr>
        <w:top w:val="none" w:sz="0" w:space="0" w:color="auto"/>
        <w:left w:val="none" w:sz="0" w:space="0" w:color="auto"/>
        <w:bottom w:val="none" w:sz="0" w:space="0" w:color="auto"/>
        <w:right w:val="none" w:sz="0" w:space="0" w:color="auto"/>
      </w:divBdr>
    </w:div>
    <w:div w:id="540021804">
      <w:bodyDiv w:val="1"/>
      <w:marLeft w:val="0"/>
      <w:marRight w:val="0"/>
      <w:marTop w:val="0"/>
      <w:marBottom w:val="0"/>
      <w:divBdr>
        <w:top w:val="none" w:sz="0" w:space="0" w:color="auto"/>
        <w:left w:val="none" w:sz="0" w:space="0" w:color="auto"/>
        <w:bottom w:val="none" w:sz="0" w:space="0" w:color="auto"/>
        <w:right w:val="none" w:sz="0" w:space="0" w:color="auto"/>
      </w:divBdr>
    </w:div>
    <w:div w:id="828449137">
      <w:bodyDiv w:val="1"/>
      <w:marLeft w:val="0"/>
      <w:marRight w:val="0"/>
      <w:marTop w:val="0"/>
      <w:marBottom w:val="0"/>
      <w:divBdr>
        <w:top w:val="none" w:sz="0" w:space="0" w:color="auto"/>
        <w:left w:val="none" w:sz="0" w:space="0" w:color="auto"/>
        <w:bottom w:val="none" w:sz="0" w:space="0" w:color="auto"/>
        <w:right w:val="none" w:sz="0" w:space="0" w:color="auto"/>
      </w:divBdr>
    </w:div>
    <w:div w:id="1063865910">
      <w:bodyDiv w:val="1"/>
      <w:marLeft w:val="0"/>
      <w:marRight w:val="0"/>
      <w:marTop w:val="0"/>
      <w:marBottom w:val="0"/>
      <w:divBdr>
        <w:top w:val="none" w:sz="0" w:space="0" w:color="auto"/>
        <w:left w:val="none" w:sz="0" w:space="0" w:color="auto"/>
        <w:bottom w:val="none" w:sz="0" w:space="0" w:color="auto"/>
        <w:right w:val="none" w:sz="0" w:space="0" w:color="auto"/>
      </w:divBdr>
    </w:div>
    <w:div w:id="1110859041">
      <w:bodyDiv w:val="1"/>
      <w:marLeft w:val="0"/>
      <w:marRight w:val="0"/>
      <w:marTop w:val="0"/>
      <w:marBottom w:val="0"/>
      <w:divBdr>
        <w:top w:val="none" w:sz="0" w:space="0" w:color="auto"/>
        <w:left w:val="none" w:sz="0" w:space="0" w:color="auto"/>
        <w:bottom w:val="none" w:sz="0" w:space="0" w:color="auto"/>
        <w:right w:val="none" w:sz="0" w:space="0" w:color="auto"/>
      </w:divBdr>
    </w:div>
    <w:div w:id="1201866012">
      <w:bodyDiv w:val="1"/>
      <w:marLeft w:val="0"/>
      <w:marRight w:val="0"/>
      <w:marTop w:val="0"/>
      <w:marBottom w:val="0"/>
      <w:divBdr>
        <w:top w:val="none" w:sz="0" w:space="0" w:color="auto"/>
        <w:left w:val="none" w:sz="0" w:space="0" w:color="auto"/>
        <w:bottom w:val="none" w:sz="0" w:space="0" w:color="auto"/>
        <w:right w:val="none" w:sz="0" w:space="0" w:color="auto"/>
      </w:divBdr>
    </w:div>
    <w:div w:id="1248925086">
      <w:bodyDiv w:val="1"/>
      <w:marLeft w:val="0"/>
      <w:marRight w:val="0"/>
      <w:marTop w:val="0"/>
      <w:marBottom w:val="0"/>
      <w:divBdr>
        <w:top w:val="none" w:sz="0" w:space="0" w:color="auto"/>
        <w:left w:val="none" w:sz="0" w:space="0" w:color="auto"/>
        <w:bottom w:val="none" w:sz="0" w:space="0" w:color="auto"/>
        <w:right w:val="none" w:sz="0" w:space="0" w:color="auto"/>
      </w:divBdr>
    </w:div>
    <w:div w:id="1470240895">
      <w:bodyDiv w:val="1"/>
      <w:marLeft w:val="0"/>
      <w:marRight w:val="0"/>
      <w:marTop w:val="0"/>
      <w:marBottom w:val="0"/>
      <w:divBdr>
        <w:top w:val="none" w:sz="0" w:space="0" w:color="auto"/>
        <w:left w:val="none" w:sz="0" w:space="0" w:color="auto"/>
        <w:bottom w:val="none" w:sz="0" w:space="0" w:color="auto"/>
        <w:right w:val="none" w:sz="0" w:space="0" w:color="auto"/>
      </w:divBdr>
    </w:div>
    <w:div w:id="1483278426">
      <w:bodyDiv w:val="1"/>
      <w:marLeft w:val="0"/>
      <w:marRight w:val="0"/>
      <w:marTop w:val="0"/>
      <w:marBottom w:val="0"/>
      <w:divBdr>
        <w:top w:val="none" w:sz="0" w:space="0" w:color="auto"/>
        <w:left w:val="none" w:sz="0" w:space="0" w:color="auto"/>
        <w:bottom w:val="none" w:sz="0" w:space="0" w:color="auto"/>
        <w:right w:val="none" w:sz="0" w:space="0" w:color="auto"/>
      </w:divBdr>
    </w:div>
    <w:div w:id="1849297254">
      <w:bodyDiv w:val="1"/>
      <w:marLeft w:val="0"/>
      <w:marRight w:val="0"/>
      <w:marTop w:val="0"/>
      <w:marBottom w:val="0"/>
      <w:divBdr>
        <w:top w:val="none" w:sz="0" w:space="0" w:color="auto"/>
        <w:left w:val="none" w:sz="0" w:space="0" w:color="auto"/>
        <w:bottom w:val="none" w:sz="0" w:space="0" w:color="auto"/>
        <w:right w:val="none" w:sz="0" w:space="0" w:color="auto"/>
      </w:divBdr>
    </w:div>
    <w:div w:id="20098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5A9D1-B36B-4681-ADE6-1F4487152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5468</Words>
  <Characters>31173</Characters>
  <Application>Microsoft Office Word</Application>
  <DocSecurity>0</DocSecurity>
  <Lines>259</Lines>
  <Paragraphs>73</Paragraphs>
  <ScaleCrop>false</ScaleCrop>
  <HeadingPairs>
    <vt:vector size="6" baseType="variant">
      <vt:variant>
        <vt:lpstr>Konu Başlığı</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NeC</Company>
  <LinksUpToDate>false</LinksUpToDate>
  <CharactersWithSpaces>36568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nn hh</cp:lastModifiedBy>
  <cp:revision>6</cp:revision>
  <dcterms:created xsi:type="dcterms:W3CDTF">2023-10-19T18:32:00Z</dcterms:created>
  <dcterms:modified xsi:type="dcterms:W3CDTF">2025-08-03T22:06:00Z</dcterms:modified>
</cp:coreProperties>
</file>