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57637" w14:textId="22101053" w:rsidR="00CC623E" w:rsidRPr="00111E88" w:rsidRDefault="00111E88" w:rsidP="00111E88">
      <w:pPr>
        <w:ind w:firstLine="567"/>
        <w:jc w:val="center"/>
        <w:rPr>
          <w:rFonts w:ascii="Palatino Linotype" w:hAnsi="Palatino Linotype" w:cstheme="minorHAnsi"/>
          <w:b/>
        </w:rPr>
      </w:pPr>
      <w:r w:rsidRPr="00111E88">
        <w:rPr>
          <w:rFonts w:ascii="Palatino Linotype" w:hAnsi="Palatino Linotype" w:cstheme="minorHAnsi"/>
          <w:b/>
          <w:highlight w:val="yellow"/>
        </w:rPr>
        <w:t xml:space="preserve">….AĞIR CEZA MAHKEMESİ BAŞKANLIĞINA/ ….BÖLGE ADLİYE MAHKEMESİ … CEZA DAİRESİ BAŞKANLIĞINA / </w:t>
      </w:r>
      <w:r w:rsidR="008513AF" w:rsidRPr="00111E88">
        <w:rPr>
          <w:rFonts w:ascii="Palatino Linotype" w:hAnsi="Palatino Linotype" w:cstheme="minorHAnsi"/>
          <w:b/>
          <w:highlight w:val="yellow"/>
        </w:rPr>
        <w:t>YARGITAY 3.</w:t>
      </w:r>
      <w:r w:rsidRPr="00111E88">
        <w:rPr>
          <w:rFonts w:ascii="Palatino Linotype" w:hAnsi="Palatino Linotype" w:cstheme="minorHAnsi"/>
          <w:b/>
          <w:highlight w:val="yellow"/>
        </w:rPr>
        <w:t xml:space="preserve"> </w:t>
      </w:r>
      <w:r w:rsidR="008513AF" w:rsidRPr="00111E88">
        <w:rPr>
          <w:rFonts w:ascii="Palatino Linotype" w:hAnsi="Palatino Linotype" w:cstheme="minorHAnsi"/>
          <w:b/>
          <w:highlight w:val="yellow"/>
        </w:rPr>
        <w:t>CEZA DAİRESİ BAŞKANLIĞINA</w:t>
      </w:r>
    </w:p>
    <w:p w14:paraId="502006FC" w14:textId="77777777" w:rsidR="00111E88" w:rsidRDefault="006D33DA" w:rsidP="00111E88">
      <w:pPr>
        <w:ind w:firstLine="567"/>
        <w:jc w:val="center"/>
        <w:rPr>
          <w:rFonts w:ascii="Palatino Linotype" w:hAnsi="Palatino Linotype" w:cstheme="minorHAnsi"/>
          <w:b/>
        </w:rPr>
      </w:pPr>
      <w:r w:rsidRPr="00111E88">
        <w:rPr>
          <w:rFonts w:ascii="Palatino Linotype" w:hAnsi="Palatino Linotype" w:cstheme="minorHAnsi"/>
          <w:b/>
        </w:rPr>
        <w:t xml:space="preserve">                                                                                   </w:t>
      </w:r>
    </w:p>
    <w:p w14:paraId="6CC584F4" w14:textId="5DC0C80A" w:rsidR="006D33DA" w:rsidRPr="00111E88" w:rsidRDefault="006D33DA" w:rsidP="00111E88">
      <w:pPr>
        <w:ind w:firstLine="567"/>
        <w:rPr>
          <w:rFonts w:ascii="Palatino Linotype" w:hAnsi="Palatino Linotype" w:cstheme="minorHAnsi"/>
          <w:b/>
          <w:u w:val="thick"/>
        </w:rPr>
      </w:pPr>
      <w:r w:rsidRPr="00111E88">
        <w:rPr>
          <w:rFonts w:ascii="Palatino Linotype" w:hAnsi="Palatino Linotype" w:cstheme="minorHAnsi"/>
          <w:b/>
          <w:highlight w:val="yellow"/>
          <w:u w:val="thick"/>
        </w:rPr>
        <w:t>D</w:t>
      </w:r>
      <w:r w:rsidR="00111E88" w:rsidRPr="00111E88">
        <w:rPr>
          <w:rFonts w:ascii="Palatino Linotype" w:hAnsi="Palatino Linotype" w:cstheme="minorHAnsi"/>
          <w:b/>
          <w:highlight w:val="yellow"/>
          <w:u w:val="thick"/>
        </w:rPr>
        <w:t>OSYA NO: Esas/Karar N</w:t>
      </w:r>
      <w:r w:rsidR="00111E88">
        <w:rPr>
          <w:rFonts w:ascii="Palatino Linotype" w:hAnsi="Palatino Linotype" w:cstheme="minorHAnsi"/>
          <w:b/>
          <w:highlight w:val="yellow"/>
          <w:u w:val="thick"/>
        </w:rPr>
        <w:t>o</w:t>
      </w:r>
      <w:r w:rsidR="00111E88" w:rsidRPr="00111E88">
        <w:rPr>
          <w:rFonts w:ascii="Palatino Linotype" w:hAnsi="Palatino Linotype" w:cstheme="minorHAnsi"/>
          <w:b/>
          <w:highlight w:val="yellow"/>
          <w:u w:val="thick"/>
        </w:rPr>
        <w:t>:</w:t>
      </w:r>
      <w:r w:rsidR="00170F52" w:rsidRPr="00111E88">
        <w:rPr>
          <w:rFonts w:ascii="Palatino Linotype" w:hAnsi="Palatino Linotype" w:cstheme="minorHAnsi"/>
          <w:b/>
          <w:u w:val="thick"/>
        </w:rPr>
        <w:t xml:space="preserve"> </w:t>
      </w:r>
    </w:p>
    <w:p w14:paraId="708A74BB" w14:textId="3FD06ADC" w:rsidR="006D33DA" w:rsidRPr="00111E88" w:rsidRDefault="00B67F93" w:rsidP="00111E88">
      <w:pPr>
        <w:ind w:firstLine="567"/>
        <w:jc w:val="both"/>
        <w:rPr>
          <w:rFonts w:ascii="Palatino Linotype" w:hAnsi="Palatino Linotype" w:cstheme="minorHAnsi"/>
          <w:b/>
          <w:u w:val="thick"/>
        </w:rPr>
      </w:pPr>
      <w:r w:rsidRPr="00111E88">
        <w:rPr>
          <w:rFonts w:ascii="Palatino Linotype" w:hAnsi="Palatino Linotype" w:cstheme="minorHAnsi"/>
          <w:b/>
          <w:u w:val="thick"/>
        </w:rPr>
        <w:t>T</w:t>
      </w:r>
      <w:r w:rsidR="00111E88">
        <w:rPr>
          <w:rFonts w:ascii="Palatino Linotype" w:hAnsi="Palatino Linotype" w:cstheme="minorHAnsi"/>
          <w:b/>
          <w:u w:val="thick"/>
        </w:rPr>
        <w:t xml:space="preserve">ALEPTE BULUNAN          </w:t>
      </w:r>
      <w:r w:rsidR="00170F52" w:rsidRPr="00111E88">
        <w:rPr>
          <w:rFonts w:ascii="Palatino Linotype" w:hAnsi="Palatino Linotype" w:cstheme="minorHAnsi"/>
          <w:b/>
          <w:u w:val="thick"/>
        </w:rPr>
        <w:t>:</w:t>
      </w:r>
      <w:r w:rsidR="00170F52" w:rsidRPr="00111E88">
        <w:rPr>
          <w:rFonts w:ascii="Palatino Linotype" w:hAnsi="Palatino Linotype" w:cstheme="minorHAnsi"/>
          <w:b/>
        </w:rPr>
        <w:t>(</w:t>
      </w:r>
      <w:r w:rsidR="00170F52" w:rsidRPr="00111E88">
        <w:rPr>
          <w:rFonts w:ascii="Palatino Linotype" w:hAnsi="Palatino Linotype" w:cstheme="minorHAnsi"/>
          <w:b/>
          <w:highlight w:val="yellow"/>
        </w:rPr>
        <w:t>Ad-</w:t>
      </w:r>
      <w:proofErr w:type="spellStart"/>
      <w:r w:rsidR="00111E88">
        <w:rPr>
          <w:rFonts w:ascii="Palatino Linotype" w:hAnsi="Palatino Linotype" w:cstheme="minorHAnsi"/>
          <w:b/>
          <w:highlight w:val="yellow"/>
        </w:rPr>
        <w:t>S</w:t>
      </w:r>
      <w:r w:rsidR="00170F52" w:rsidRPr="00111E88">
        <w:rPr>
          <w:rFonts w:ascii="Palatino Linotype" w:hAnsi="Palatino Linotype" w:cstheme="minorHAnsi"/>
          <w:b/>
          <w:highlight w:val="yellow"/>
        </w:rPr>
        <w:t>oyad</w:t>
      </w:r>
      <w:proofErr w:type="spellEnd"/>
      <w:r w:rsidR="00111E88">
        <w:rPr>
          <w:rFonts w:ascii="Palatino Linotype" w:hAnsi="Palatino Linotype" w:cstheme="minorHAnsi"/>
          <w:b/>
          <w:highlight w:val="yellow"/>
        </w:rPr>
        <w:t>/TC Kimlik No/A</w:t>
      </w:r>
      <w:r w:rsidR="00170F52" w:rsidRPr="00111E88">
        <w:rPr>
          <w:rFonts w:ascii="Palatino Linotype" w:hAnsi="Palatino Linotype" w:cstheme="minorHAnsi"/>
          <w:b/>
          <w:highlight w:val="yellow"/>
        </w:rPr>
        <w:t>dres)</w:t>
      </w:r>
    </w:p>
    <w:p w14:paraId="0AAD1FF3" w14:textId="6410E1AB" w:rsidR="006D33DA" w:rsidRPr="00111E88" w:rsidRDefault="006D33DA" w:rsidP="00111E88">
      <w:pPr>
        <w:ind w:firstLine="567"/>
        <w:jc w:val="both"/>
        <w:rPr>
          <w:rFonts w:ascii="Palatino Linotype" w:hAnsi="Palatino Linotype" w:cstheme="minorHAnsi"/>
          <w:b/>
          <w:u w:val="thick"/>
        </w:rPr>
      </w:pPr>
      <w:r w:rsidRPr="00111E88">
        <w:rPr>
          <w:rFonts w:ascii="Palatino Linotype" w:hAnsi="Palatino Linotype" w:cstheme="minorHAnsi"/>
          <w:b/>
          <w:u w:val="thick"/>
        </w:rPr>
        <w:t>M</w:t>
      </w:r>
      <w:r w:rsidR="00111E88">
        <w:rPr>
          <w:rFonts w:ascii="Palatino Linotype" w:hAnsi="Palatino Linotype" w:cstheme="minorHAnsi"/>
          <w:b/>
          <w:u w:val="thick"/>
        </w:rPr>
        <w:t xml:space="preserve">ÜDAFİİ  </w:t>
      </w:r>
      <w:r w:rsidR="00170F52" w:rsidRPr="00111E88">
        <w:rPr>
          <w:rFonts w:ascii="Palatino Linotype" w:hAnsi="Palatino Linotype" w:cstheme="minorHAnsi"/>
          <w:b/>
          <w:u w:val="thick"/>
        </w:rPr>
        <w:t xml:space="preserve">                             </w:t>
      </w:r>
      <w:r w:rsidRPr="00111E88">
        <w:rPr>
          <w:rFonts w:ascii="Palatino Linotype" w:hAnsi="Palatino Linotype" w:cstheme="minorHAnsi"/>
          <w:b/>
          <w:u w:val="thick"/>
        </w:rPr>
        <w:t>:</w:t>
      </w:r>
    </w:p>
    <w:p w14:paraId="2EAF640D" w14:textId="17ADE45A" w:rsidR="00B1586A" w:rsidRDefault="006D33DA" w:rsidP="00111E88">
      <w:pPr>
        <w:ind w:left="3540" w:hanging="2973"/>
        <w:jc w:val="both"/>
        <w:rPr>
          <w:rFonts w:ascii="Palatino Linotype" w:hAnsi="Palatino Linotype" w:cstheme="minorHAnsi"/>
        </w:rPr>
      </w:pPr>
      <w:r w:rsidRPr="00111E88">
        <w:rPr>
          <w:rFonts w:ascii="Palatino Linotype" w:hAnsi="Palatino Linotype" w:cstheme="minorHAnsi"/>
          <w:b/>
          <w:u w:val="thick"/>
        </w:rPr>
        <w:t>K</w:t>
      </w:r>
      <w:r w:rsidR="00111E88">
        <w:rPr>
          <w:rFonts w:ascii="Palatino Linotype" w:hAnsi="Palatino Linotype" w:cstheme="minorHAnsi"/>
          <w:b/>
          <w:u w:val="thick"/>
        </w:rPr>
        <w:t xml:space="preserve">ONU              </w:t>
      </w:r>
      <w:r w:rsidR="00170F52" w:rsidRPr="00111E88">
        <w:rPr>
          <w:rFonts w:ascii="Palatino Linotype" w:hAnsi="Palatino Linotype" w:cstheme="minorHAnsi"/>
          <w:b/>
          <w:u w:val="thick"/>
        </w:rPr>
        <w:t xml:space="preserve">            </w:t>
      </w:r>
      <w:r w:rsidR="00111E88">
        <w:rPr>
          <w:rFonts w:ascii="Palatino Linotype" w:hAnsi="Palatino Linotype" w:cstheme="minorHAnsi"/>
          <w:b/>
          <w:u w:val="thick"/>
        </w:rPr>
        <w:t xml:space="preserve"> </w:t>
      </w:r>
      <w:r w:rsidR="00170F52" w:rsidRPr="00111E88">
        <w:rPr>
          <w:rFonts w:ascii="Palatino Linotype" w:hAnsi="Palatino Linotype" w:cstheme="minorHAnsi"/>
          <w:b/>
          <w:u w:val="thick"/>
        </w:rPr>
        <w:t xml:space="preserve">          </w:t>
      </w:r>
      <w:r w:rsidRPr="00111E88">
        <w:rPr>
          <w:rFonts w:ascii="Palatino Linotype" w:hAnsi="Palatino Linotype" w:cstheme="minorHAnsi"/>
          <w:b/>
          <w:u w:val="thick"/>
        </w:rPr>
        <w:t>:</w:t>
      </w:r>
      <w:r w:rsidR="00170F52" w:rsidRPr="00111E88">
        <w:rPr>
          <w:rFonts w:ascii="Palatino Linotype" w:hAnsi="Palatino Linotype" w:cstheme="minorHAnsi"/>
        </w:rPr>
        <w:t>Adil yargılanma hakkı kapsamında hakkımda isnat edilen suça ilişkin belge ve bilgilerin bir örneğinin/kopyasının tarafıma verilmesi</w:t>
      </w:r>
      <w:r w:rsidR="00B1586A" w:rsidRPr="00111E88">
        <w:rPr>
          <w:rFonts w:ascii="Palatino Linotype" w:hAnsi="Palatino Linotype" w:cstheme="minorHAnsi"/>
        </w:rPr>
        <w:t>,</w:t>
      </w:r>
      <w:r w:rsidR="00111E88">
        <w:rPr>
          <w:rFonts w:ascii="Palatino Linotype" w:hAnsi="Palatino Linotype" w:cstheme="minorHAnsi"/>
        </w:rPr>
        <w:t xml:space="preserve"> </w:t>
      </w:r>
      <w:r w:rsidR="00B1586A" w:rsidRPr="00111E88">
        <w:rPr>
          <w:rFonts w:ascii="Palatino Linotype" w:hAnsi="Palatino Linotype" w:cstheme="minorHAnsi"/>
        </w:rPr>
        <w:t xml:space="preserve">netice-talep kısmında belirtilen Garson ve diğer tanıkların mahkemede dinlenmesi </w:t>
      </w:r>
      <w:r w:rsidR="00170F52" w:rsidRPr="00111E88">
        <w:rPr>
          <w:rFonts w:ascii="Palatino Linotype" w:hAnsi="Palatino Linotype" w:cstheme="minorHAnsi"/>
        </w:rPr>
        <w:t>talebidir.</w:t>
      </w:r>
    </w:p>
    <w:p w14:paraId="32EBF2F4" w14:textId="77777777" w:rsidR="00111E88" w:rsidRPr="00111E88" w:rsidRDefault="00111E88" w:rsidP="00111E88">
      <w:pPr>
        <w:ind w:left="3540" w:hanging="2973"/>
        <w:jc w:val="both"/>
        <w:rPr>
          <w:rFonts w:ascii="Palatino Linotype" w:hAnsi="Palatino Linotype" w:cstheme="minorHAnsi"/>
        </w:rPr>
      </w:pPr>
    </w:p>
    <w:p w14:paraId="199E1819" w14:textId="52A30C1D" w:rsidR="006D33DA" w:rsidRPr="00111E88" w:rsidRDefault="006D33DA" w:rsidP="00111E88">
      <w:pPr>
        <w:ind w:firstLine="567"/>
        <w:jc w:val="center"/>
        <w:rPr>
          <w:rFonts w:ascii="Palatino Linotype" w:hAnsi="Palatino Linotype" w:cstheme="minorHAnsi"/>
          <w:b/>
          <w:u w:val="thick"/>
        </w:rPr>
      </w:pPr>
      <w:r w:rsidRPr="00111E88">
        <w:rPr>
          <w:rFonts w:ascii="Palatino Linotype" w:hAnsi="Palatino Linotype" w:cstheme="minorHAnsi"/>
          <w:b/>
          <w:u w:val="thick"/>
        </w:rPr>
        <w:t>A</w:t>
      </w:r>
      <w:r w:rsidR="00111E88">
        <w:rPr>
          <w:rFonts w:ascii="Palatino Linotype" w:hAnsi="Palatino Linotype" w:cstheme="minorHAnsi"/>
          <w:b/>
          <w:u w:val="thick"/>
        </w:rPr>
        <w:t>ÇIKLAMALAR</w:t>
      </w:r>
    </w:p>
    <w:p w14:paraId="610F3499" w14:textId="77777777" w:rsidR="006D33DA" w:rsidRPr="00111E88" w:rsidRDefault="006D33DA" w:rsidP="00111E88">
      <w:pPr>
        <w:ind w:firstLine="567"/>
        <w:jc w:val="both"/>
        <w:rPr>
          <w:rFonts w:ascii="Palatino Linotype" w:hAnsi="Palatino Linotype" w:cstheme="minorHAnsi"/>
          <w:b/>
          <w:u w:val="thick"/>
        </w:rPr>
      </w:pPr>
    </w:p>
    <w:p w14:paraId="1F61B04B" w14:textId="378305A9" w:rsidR="00F65BEE" w:rsidRPr="00111E88" w:rsidRDefault="00F65BEE" w:rsidP="00111E88">
      <w:pPr>
        <w:ind w:firstLine="567"/>
        <w:jc w:val="both"/>
        <w:rPr>
          <w:rFonts w:ascii="Palatino Linotype" w:hAnsi="Palatino Linotype" w:cstheme="minorHAnsi"/>
        </w:rPr>
      </w:pPr>
      <w:r w:rsidRPr="00111E88">
        <w:rPr>
          <w:rFonts w:ascii="Palatino Linotype" w:hAnsi="Palatino Linotype" w:cstheme="minorHAnsi"/>
        </w:rPr>
        <w:t>Mahkemenizin yukarıda esas numarası belirttiğim dosyada terör örgütüne üye olmak suçundan sanık olarak yargılanmaktayım. İsnat edilen suçuna ilişkin delillerden bir</w:t>
      </w:r>
      <w:r w:rsidR="0084664E">
        <w:rPr>
          <w:rFonts w:ascii="Palatino Linotype" w:hAnsi="Palatino Linotype" w:cstheme="minorHAnsi"/>
        </w:rPr>
        <w:t>i</w:t>
      </w:r>
      <w:r w:rsidRPr="00111E88">
        <w:rPr>
          <w:rFonts w:ascii="Palatino Linotype" w:hAnsi="Palatino Linotype" w:cstheme="minorHAnsi"/>
        </w:rPr>
        <w:t xml:space="preserve"> de Garson kod adlı gizli tanığın beyanı ve onun teslim ettiği iddia edilen dijital materyalde geçen şahsımın</w:t>
      </w:r>
      <w:r w:rsidR="00347DE5" w:rsidRPr="00111E88">
        <w:rPr>
          <w:rFonts w:ascii="Palatino Linotype" w:hAnsi="Palatino Linotype" w:cstheme="minorHAnsi"/>
        </w:rPr>
        <w:t xml:space="preserve"> </w:t>
      </w:r>
      <w:r w:rsidR="005E49E1" w:rsidRPr="00111E88">
        <w:rPr>
          <w:rFonts w:ascii="Palatino Linotype" w:hAnsi="Palatino Linotype" w:cstheme="minorHAnsi"/>
        </w:rPr>
        <w:t>Garson tarafından</w:t>
      </w:r>
      <w:r w:rsidRPr="00111E88">
        <w:rPr>
          <w:rFonts w:ascii="Palatino Linotype" w:hAnsi="Palatino Linotype" w:cstheme="minorHAnsi"/>
        </w:rPr>
        <w:t xml:space="preserve"> </w:t>
      </w:r>
      <w:r w:rsidR="005E49E1" w:rsidRPr="00111E88">
        <w:rPr>
          <w:rFonts w:ascii="Palatino Linotype" w:hAnsi="Palatino Linotype" w:cstheme="minorHAnsi"/>
        </w:rPr>
        <w:t>fişlendiği iddiasıdır</w:t>
      </w:r>
      <w:r w:rsidRPr="00111E88">
        <w:rPr>
          <w:rFonts w:ascii="Palatino Linotype" w:hAnsi="Palatino Linotype" w:cstheme="minorHAnsi"/>
        </w:rPr>
        <w:t xml:space="preserve">. </w:t>
      </w:r>
    </w:p>
    <w:p w14:paraId="01B4F781" w14:textId="41CBDFEC" w:rsidR="00347DE5" w:rsidRPr="00111E88" w:rsidRDefault="00F65BEE" w:rsidP="00111E88">
      <w:pPr>
        <w:spacing w:before="100" w:beforeAutospacing="1" w:after="100" w:afterAutospacing="1" w:line="240" w:lineRule="auto"/>
        <w:ind w:firstLine="567"/>
        <w:jc w:val="both"/>
        <w:outlineLvl w:val="3"/>
        <w:rPr>
          <w:rFonts w:ascii="Palatino Linotype" w:hAnsi="Palatino Linotype" w:cstheme="minorHAnsi"/>
        </w:rPr>
      </w:pPr>
      <w:r w:rsidRPr="00111E88">
        <w:rPr>
          <w:rFonts w:ascii="Palatino Linotype" w:hAnsi="Palatino Linotype" w:cstheme="minorHAnsi"/>
        </w:rPr>
        <w:t>İsnat</w:t>
      </w:r>
      <w:r w:rsidR="00347DE5" w:rsidRPr="00111E88">
        <w:rPr>
          <w:rFonts w:ascii="Palatino Linotype" w:hAnsi="Palatino Linotype" w:cstheme="minorHAnsi"/>
        </w:rPr>
        <w:t xml:space="preserve"> edilen suça ilişkin Ankara C</w:t>
      </w:r>
      <w:r w:rsidR="0084664E">
        <w:rPr>
          <w:rFonts w:ascii="Palatino Linotype" w:hAnsi="Palatino Linotype" w:cstheme="minorHAnsi"/>
        </w:rPr>
        <w:t xml:space="preserve">umhuriyet </w:t>
      </w:r>
      <w:r w:rsidR="00347DE5" w:rsidRPr="00111E88">
        <w:rPr>
          <w:rFonts w:ascii="Palatino Linotype" w:hAnsi="Palatino Linotype" w:cstheme="minorHAnsi"/>
        </w:rPr>
        <w:t>B</w:t>
      </w:r>
      <w:r w:rsidR="0084664E">
        <w:rPr>
          <w:rFonts w:ascii="Palatino Linotype" w:hAnsi="Palatino Linotype" w:cstheme="minorHAnsi"/>
        </w:rPr>
        <w:t xml:space="preserve">aşsavcılığı soruşturma başlatmış </w:t>
      </w:r>
      <w:r w:rsidRPr="00111E88">
        <w:rPr>
          <w:rFonts w:ascii="Palatino Linotype" w:hAnsi="Palatino Linotype" w:cstheme="minorHAnsi"/>
        </w:rPr>
        <w:t>olup</w:t>
      </w:r>
      <w:r w:rsidR="00347DE5" w:rsidRPr="00111E88">
        <w:rPr>
          <w:rFonts w:ascii="Palatino Linotype" w:hAnsi="Palatino Linotype" w:cstheme="minorHAnsi"/>
        </w:rPr>
        <w:t xml:space="preserve">  Ankara 5</w:t>
      </w:r>
      <w:r w:rsidRPr="00111E88">
        <w:rPr>
          <w:rFonts w:ascii="Palatino Linotype" w:hAnsi="Palatino Linotype" w:cstheme="minorHAnsi"/>
        </w:rPr>
        <w:t>.</w:t>
      </w:r>
      <w:r w:rsidR="0084664E">
        <w:rPr>
          <w:rFonts w:ascii="Palatino Linotype" w:hAnsi="Palatino Linotype" w:cstheme="minorHAnsi"/>
        </w:rPr>
        <w:t xml:space="preserve"> </w:t>
      </w:r>
      <w:r w:rsidRPr="00111E88">
        <w:rPr>
          <w:rFonts w:ascii="Palatino Linotype" w:hAnsi="Palatino Linotype" w:cstheme="minorHAnsi"/>
        </w:rPr>
        <w:t>S</w:t>
      </w:r>
      <w:r w:rsidR="0084664E">
        <w:rPr>
          <w:rFonts w:ascii="Palatino Linotype" w:hAnsi="Palatino Linotype" w:cstheme="minorHAnsi"/>
        </w:rPr>
        <w:t xml:space="preserve">ulh </w:t>
      </w:r>
      <w:r w:rsidRPr="00111E88">
        <w:rPr>
          <w:rFonts w:ascii="Palatino Linotype" w:hAnsi="Palatino Linotype" w:cstheme="minorHAnsi"/>
        </w:rPr>
        <w:t>C</w:t>
      </w:r>
      <w:r w:rsidR="0084664E">
        <w:rPr>
          <w:rFonts w:ascii="Palatino Linotype" w:hAnsi="Palatino Linotype" w:cstheme="minorHAnsi"/>
        </w:rPr>
        <w:t xml:space="preserve">eza </w:t>
      </w:r>
      <w:r w:rsidRPr="00111E88">
        <w:rPr>
          <w:rFonts w:ascii="Palatino Linotype" w:hAnsi="Palatino Linotype" w:cstheme="minorHAnsi"/>
        </w:rPr>
        <w:t>H</w:t>
      </w:r>
      <w:r w:rsidR="0084664E">
        <w:rPr>
          <w:rFonts w:ascii="Palatino Linotype" w:hAnsi="Palatino Linotype" w:cstheme="minorHAnsi"/>
        </w:rPr>
        <w:t>akimliği</w:t>
      </w:r>
      <w:r w:rsidRPr="00111E88">
        <w:rPr>
          <w:rFonts w:ascii="Palatino Linotype" w:hAnsi="Palatino Linotype" w:cstheme="minorHAnsi"/>
        </w:rPr>
        <w:t>’n</w:t>
      </w:r>
      <w:r w:rsidR="00347DE5" w:rsidRPr="00111E88">
        <w:rPr>
          <w:rFonts w:ascii="Palatino Linotype" w:hAnsi="Palatino Linotype" w:cstheme="minorHAnsi"/>
        </w:rPr>
        <w:t>in 2017/2920</w:t>
      </w:r>
      <w:r w:rsidRPr="00111E88">
        <w:rPr>
          <w:rFonts w:ascii="Palatino Linotype" w:hAnsi="Palatino Linotype" w:cstheme="minorHAnsi"/>
        </w:rPr>
        <w:t xml:space="preserve"> Değişik iş kararıyla</w:t>
      </w:r>
      <w:r w:rsidR="00347DE5" w:rsidRPr="00111E88">
        <w:rPr>
          <w:rFonts w:ascii="Palatino Linotype" w:hAnsi="Palatino Linotype" w:cstheme="minorHAnsi"/>
        </w:rPr>
        <w:t xml:space="preserve"> el konulmasına karar verdiği siyah renkli üzerinde Samsung 32gb Micro SD HC I, beyaz açık kahve renkli Lexar 1000x 64Gb micro sd xc II, Samsung marka Sm-A510F model beyaz renkli gövde arka kapağında </w:t>
      </w:r>
      <w:r w:rsidR="00347DE5" w:rsidRPr="00111E88">
        <w:rPr>
          <w:rFonts w:ascii="Palatino Linotype" w:hAnsi="Palatino Linotype" w:cs="Calibri"/>
        </w:rPr>
        <w:t xml:space="preserve">357765/07/561383/3 imei S/N:R58H61ZYLEF numaraları </w:t>
      </w:r>
      <w:r w:rsidR="00347DE5" w:rsidRPr="0084664E">
        <w:rPr>
          <w:rFonts w:ascii="Palatino Linotype" w:hAnsi="Palatino Linotype" w:cs="Calibri"/>
          <w:b/>
          <w:bCs/>
        </w:rPr>
        <w:t>yazılı d</w:t>
      </w:r>
      <w:r w:rsidR="00254D8C" w:rsidRPr="0084664E">
        <w:rPr>
          <w:rFonts w:ascii="Palatino Linotype" w:hAnsi="Palatino Linotype" w:cs="Calibri"/>
          <w:b/>
          <w:bCs/>
        </w:rPr>
        <w:t>ijital materyalin bir kopyasının verilmesi, dijital materyale ilişkin bilirkişi incelmesi yaptırtılması, Garson kod adlı gizli tanığın mahkeme de sorgulanabilmesi için duruşmaya getirtilmesine ilişkin talebimin sunulmasıdır.</w:t>
      </w:r>
      <w:r w:rsidR="00254D8C" w:rsidRPr="00111E88">
        <w:rPr>
          <w:rFonts w:ascii="Palatino Linotype" w:hAnsi="Palatino Linotype" w:cs="Calibri"/>
        </w:rPr>
        <w:t xml:space="preserve"> Şöyleki;</w:t>
      </w:r>
    </w:p>
    <w:p w14:paraId="1687C391" w14:textId="2B163F39" w:rsidR="00F65BEE" w:rsidRPr="00111E88" w:rsidRDefault="00F65BEE" w:rsidP="00111E88">
      <w:pPr>
        <w:ind w:firstLine="567"/>
        <w:jc w:val="both"/>
        <w:rPr>
          <w:rFonts w:ascii="Palatino Linotype" w:hAnsi="Palatino Linotype" w:cstheme="minorHAnsi"/>
          <w:b/>
          <w:u w:val="thick"/>
        </w:rPr>
      </w:pPr>
      <w:r w:rsidRPr="00111E88">
        <w:rPr>
          <w:rFonts w:ascii="Palatino Linotype" w:hAnsi="Palatino Linotype" w:cstheme="minorHAnsi"/>
          <w:b/>
          <w:u w:val="thick"/>
        </w:rPr>
        <w:t>1</w:t>
      </w:r>
      <w:r w:rsidR="00017647">
        <w:rPr>
          <w:rFonts w:ascii="Palatino Linotype" w:hAnsi="Palatino Linotype" w:cstheme="minorHAnsi"/>
          <w:b/>
          <w:u w:val="thick"/>
        </w:rPr>
        <w:t xml:space="preserve">. </w:t>
      </w:r>
      <w:r w:rsidRPr="00111E88">
        <w:rPr>
          <w:rFonts w:ascii="Palatino Linotype" w:hAnsi="Palatino Linotype" w:cstheme="minorHAnsi"/>
          <w:b/>
          <w:u w:val="thick"/>
        </w:rPr>
        <w:t xml:space="preserve">Silahların </w:t>
      </w:r>
      <w:r w:rsidR="00111E88">
        <w:rPr>
          <w:rFonts w:ascii="Palatino Linotype" w:hAnsi="Palatino Linotype" w:cstheme="minorHAnsi"/>
          <w:b/>
          <w:u w:val="thick"/>
        </w:rPr>
        <w:t>E</w:t>
      </w:r>
      <w:r w:rsidRPr="00111E88">
        <w:rPr>
          <w:rFonts w:ascii="Palatino Linotype" w:hAnsi="Palatino Linotype" w:cstheme="minorHAnsi"/>
          <w:b/>
          <w:u w:val="thick"/>
        </w:rPr>
        <w:t xml:space="preserve">şitliği-Bilgi ve </w:t>
      </w:r>
      <w:r w:rsidR="0084664E">
        <w:rPr>
          <w:rFonts w:ascii="Palatino Linotype" w:hAnsi="Palatino Linotype" w:cstheme="minorHAnsi"/>
          <w:b/>
          <w:u w:val="thick"/>
        </w:rPr>
        <w:t>B</w:t>
      </w:r>
      <w:r w:rsidRPr="00111E88">
        <w:rPr>
          <w:rFonts w:ascii="Palatino Linotype" w:hAnsi="Palatino Linotype" w:cstheme="minorHAnsi"/>
          <w:b/>
          <w:u w:val="thick"/>
        </w:rPr>
        <w:t xml:space="preserve">elgelere </w:t>
      </w:r>
      <w:r w:rsidR="0084664E">
        <w:rPr>
          <w:rFonts w:ascii="Palatino Linotype" w:hAnsi="Palatino Linotype" w:cstheme="minorHAnsi"/>
          <w:b/>
          <w:u w:val="thick"/>
        </w:rPr>
        <w:t>U</w:t>
      </w:r>
      <w:r w:rsidRPr="00111E88">
        <w:rPr>
          <w:rFonts w:ascii="Palatino Linotype" w:hAnsi="Palatino Linotype" w:cstheme="minorHAnsi"/>
          <w:b/>
          <w:u w:val="thick"/>
        </w:rPr>
        <w:t xml:space="preserve">laşmada </w:t>
      </w:r>
      <w:r w:rsidR="0084664E">
        <w:rPr>
          <w:rFonts w:ascii="Palatino Linotype" w:hAnsi="Palatino Linotype" w:cstheme="minorHAnsi"/>
          <w:b/>
          <w:u w:val="thick"/>
        </w:rPr>
        <w:t>E</w:t>
      </w:r>
      <w:r w:rsidRPr="00111E88">
        <w:rPr>
          <w:rFonts w:ascii="Palatino Linotype" w:hAnsi="Palatino Linotype" w:cstheme="minorHAnsi"/>
          <w:b/>
          <w:u w:val="thick"/>
        </w:rPr>
        <w:t>şitlik:</w:t>
      </w:r>
    </w:p>
    <w:p w14:paraId="716651E4" w14:textId="05D6CA6D" w:rsidR="00F65BEE" w:rsidRPr="00111E88" w:rsidRDefault="00F65BEE" w:rsidP="00111E88">
      <w:pPr>
        <w:ind w:firstLine="567"/>
        <w:jc w:val="both"/>
        <w:rPr>
          <w:rFonts w:ascii="Palatino Linotype" w:hAnsi="Palatino Linotype" w:cstheme="minorHAnsi"/>
        </w:rPr>
      </w:pPr>
      <w:r w:rsidRPr="00111E88">
        <w:rPr>
          <w:rFonts w:ascii="Palatino Linotype" w:hAnsi="Palatino Linotype" w:cstheme="minorHAnsi"/>
        </w:rPr>
        <w:t xml:space="preserve">Adil bir yargılamanın sağlanabilmesi için davanın taraflarının davayla ilgili belge ve bilgilere ulaşabilmesi gerekmektedir. Silahların eşitliği ilkesi, tarafların birbirleri karşısında önemli bir dezavantaj içine girmeyecek şekilde davaya ilişkin bilgi ve belgelere ulaşmak açısından eşit imkânlara sahip olmasını </w:t>
      </w:r>
      <w:r w:rsidR="0084664E">
        <w:rPr>
          <w:rFonts w:ascii="Palatino Linotype" w:hAnsi="Palatino Linotype" w:cstheme="minorHAnsi"/>
        </w:rPr>
        <w:t>gerektirir</w:t>
      </w:r>
      <w:r w:rsidRPr="00111E88">
        <w:rPr>
          <w:rFonts w:ascii="Palatino Linotype" w:hAnsi="Palatino Linotype" w:cstheme="minorHAnsi"/>
        </w:rPr>
        <w:t xml:space="preserve">. Önemli olan taraflardan birinin diğerine karşı avantaj sağlamamasıdır. </w:t>
      </w:r>
    </w:p>
    <w:p w14:paraId="7D607BDB" w14:textId="4E9F8AB9" w:rsidR="00F65BEE" w:rsidRPr="00111E88" w:rsidRDefault="00F65BEE" w:rsidP="00111E88">
      <w:pPr>
        <w:ind w:firstLine="567"/>
        <w:jc w:val="both"/>
        <w:rPr>
          <w:rFonts w:ascii="Palatino Linotype" w:hAnsi="Palatino Linotype" w:cstheme="minorHAnsi"/>
          <w:b/>
        </w:rPr>
      </w:pPr>
      <w:r w:rsidRPr="00111E88">
        <w:rPr>
          <w:rFonts w:ascii="Palatino Linotype" w:hAnsi="Palatino Linotype" w:cstheme="minorHAnsi"/>
        </w:rPr>
        <w:t xml:space="preserve">Ceza davalarında, </w:t>
      </w:r>
      <w:r w:rsidR="0084664E">
        <w:rPr>
          <w:rFonts w:ascii="Palatino Linotype" w:hAnsi="Palatino Linotype" w:cstheme="minorHAnsi"/>
        </w:rPr>
        <w:t>iddia makamı</w:t>
      </w:r>
      <w:r w:rsidRPr="00111E88">
        <w:rPr>
          <w:rFonts w:ascii="Palatino Linotype" w:hAnsi="Palatino Linotype" w:cstheme="minorHAnsi"/>
        </w:rPr>
        <w:t xml:space="preserve"> tarafından </w:t>
      </w:r>
      <w:r w:rsidR="0084664E">
        <w:rPr>
          <w:rFonts w:ascii="Palatino Linotype" w:hAnsi="Palatino Linotype" w:cstheme="minorHAnsi"/>
        </w:rPr>
        <w:t>kolluk güçlerine</w:t>
      </w:r>
      <w:r w:rsidRPr="00111E88">
        <w:rPr>
          <w:rFonts w:ascii="Palatino Linotype" w:hAnsi="Palatino Linotype" w:cstheme="minorHAnsi"/>
        </w:rPr>
        <w:t xml:space="preserve"> yaptırılan ek bazı araştırma ve </w:t>
      </w:r>
      <w:r w:rsidR="0084664E">
        <w:rPr>
          <w:rFonts w:ascii="Palatino Linotype" w:hAnsi="Palatino Linotype" w:cstheme="minorHAnsi"/>
        </w:rPr>
        <w:t>incelemelerin</w:t>
      </w:r>
      <w:r w:rsidRPr="00111E88">
        <w:rPr>
          <w:rFonts w:ascii="Palatino Linotype" w:hAnsi="Palatino Linotype" w:cstheme="minorHAnsi"/>
        </w:rPr>
        <w:t xml:space="preserve"> sanığın haberi olmaksızın </w:t>
      </w:r>
      <w:r w:rsidR="0084664E">
        <w:rPr>
          <w:rFonts w:ascii="Palatino Linotype" w:hAnsi="Palatino Linotype" w:cstheme="minorHAnsi"/>
        </w:rPr>
        <w:t xml:space="preserve">C. </w:t>
      </w:r>
      <w:r w:rsidRPr="00111E88">
        <w:rPr>
          <w:rFonts w:ascii="Palatino Linotype" w:hAnsi="Palatino Linotype" w:cstheme="minorHAnsi"/>
        </w:rPr>
        <w:t>savcı</w:t>
      </w:r>
      <w:r w:rsidR="0084664E">
        <w:rPr>
          <w:rFonts w:ascii="Palatino Linotype" w:hAnsi="Palatino Linotype" w:cstheme="minorHAnsi"/>
        </w:rPr>
        <w:t>sı</w:t>
      </w:r>
      <w:r w:rsidRPr="00111E88">
        <w:rPr>
          <w:rFonts w:ascii="Palatino Linotype" w:hAnsi="Palatino Linotype" w:cstheme="minorHAnsi"/>
        </w:rPr>
        <w:t xml:space="preserve">nın yorumu ile birlikte mahkemeye sunulması veya medeni hak ve yükümlülüklere ilişkin davalarda başvurucunun bilgisi </w:t>
      </w:r>
      <w:r w:rsidR="00254D8C" w:rsidRPr="00111E88">
        <w:rPr>
          <w:rFonts w:ascii="Palatino Linotype" w:hAnsi="Palatino Linotype" w:cstheme="minorHAnsi"/>
        </w:rPr>
        <w:lastRenderedPageBreak/>
        <w:t>dâhilinde</w:t>
      </w:r>
      <w:r w:rsidRPr="00111E88">
        <w:rPr>
          <w:rFonts w:ascii="Palatino Linotype" w:hAnsi="Palatino Linotype" w:cstheme="minorHAnsi"/>
        </w:rPr>
        <w:t xml:space="preserve"> olmayan bir raporun mahkemeye sunulması silahların eşitliği </w:t>
      </w:r>
      <w:r w:rsidR="0084664E">
        <w:rPr>
          <w:rFonts w:ascii="Palatino Linotype" w:hAnsi="Palatino Linotype" w:cstheme="minorHAnsi"/>
        </w:rPr>
        <w:t>ilkesinin</w:t>
      </w:r>
      <w:r w:rsidRPr="00111E88">
        <w:rPr>
          <w:rFonts w:ascii="Palatino Linotype" w:hAnsi="Palatino Linotype" w:cstheme="minorHAnsi"/>
        </w:rPr>
        <w:t xml:space="preserve"> ihlal</w:t>
      </w:r>
      <w:r w:rsidR="0084664E">
        <w:rPr>
          <w:rFonts w:ascii="Palatino Linotype" w:hAnsi="Palatino Linotype" w:cstheme="minorHAnsi"/>
        </w:rPr>
        <w:t>ine</w:t>
      </w:r>
      <w:r w:rsidRPr="00111E88">
        <w:rPr>
          <w:rFonts w:ascii="Palatino Linotype" w:hAnsi="Palatino Linotype" w:cstheme="minorHAnsi"/>
        </w:rPr>
        <w:t xml:space="preserve"> neden olmaktadır</w:t>
      </w:r>
      <w:r w:rsidRPr="00111E88">
        <w:rPr>
          <w:rFonts w:ascii="Palatino Linotype" w:hAnsi="Palatino Linotype" w:cstheme="minorHAnsi"/>
          <w:bCs/>
        </w:rPr>
        <w:t>.</w:t>
      </w:r>
      <w:r w:rsidR="00111E88">
        <w:rPr>
          <w:rStyle w:val="DipnotBavurusu"/>
          <w:rFonts w:ascii="Palatino Linotype" w:hAnsi="Palatino Linotype" w:cstheme="minorHAnsi"/>
          <w:bCs/>
        </w:rPr>
        <w:footnoteReference w:id="1"/>
      </w:r>
    </w:p>
    <w:p w14:paraId="797C6D47" w14:textId="4386223E" w:rsidR="00F65BEE" w:rsidRPr="00111E88" w:rsidRDefault="00F65BEE" w:rsidP="00111E88">
      <w:pPr>
        <w:ind w:firstLine="567"/>
        <w:jc w:val="both"/>
        <w:rPr>
          <w:rFonts w:ascii="Palatino Linotype" w:hAnsi="Palatino Linotype" w:cstheme="minorHAnsi"/>
        </w:rPr>
      </w:pPr>
      <w:r w:rsidRPr="00111E88">
        <w:rPr>
          <w:rFonts w:ascii="Palatino Linotype" w:hAnsi="Palatino Linotype" w:cstheme="minorHAnsi"/>
        </w:rPr>
        <w:t>A</w:t>
      </w:r>
      <w:r w:rsidR="0084664E">
        <w:rPr>
          <w:rFonts w:ascii="Palatino Linotype" w:hAnsi="Palatino Linotype" w:cstheme="minorHAnsi"/>
        </w:rPr>
        <w:t xml:space="preserve">nayasa </w:t>
      </w:r>
      <w:r w:rsidRPr="00111E88">
        <w:rPr>
          <w:rFonts w:ascii="Palatino Linotype" w:hAnsi="Palatino Linotype" w:cstheme="minorHAnsi"/>
        </w:rPr>
        <w:t>M</w:t>
      </w:r>
      <w:r w:rsidR="0084664E">
        <w:rPr>
          <w:rFonts w:ascii="Palatino Linotype" w:hAnsi="Palatino Linotype" w:cstheme="minorHAnsi"/>
        </w:rPr>
        <w:t>ahkemesi (AYM)</w:t>
      </w:r>
      <w:r w:rsidRPr="00111E88">
        <w:rPr>
          <w:rFonts w:ascii="Palatino Linotype" w:hAnsi="Palatino Linotype" w:cstheme="minorHAnsi"/>
        </w:rPr>
        <w:t xml:space="preserve"> norm denetimi yaptığı davalardan birinde mağdur ve şikayetçinin dava dosyasındaki </w:t>
      </w:r>
      <w:r w:rsidRPr="00111E88">
        <w:rPr>
          <w:rFonts w:ascii="Palatino Linotype" w:hAnsi="Palatino Linotype" w:cstheme="minorHAnsi"/>
          <w:b/>
          <w:u w:val="single"/>
        </w:rPr>
        <w:t>tutanak ve delillerden örnek almasının engellenmesini</w:t>
      </w:r>
      <w:r w:rsidRPr="00111E88">
        <w:rPr>
          <w:rFonts w:ascii="Palatino Linotype" w:hAnsi="Palatino Linotype" w:cstheme="minorHAnsi"/>
        </w:rPr>
        <w:t xml:space="preserve"> incelemiş</w:t>
      </w:r>
      <w:r w:rsidR="0084664E">
        <w:rPr>
          <w:rFonts w:ascii="Palatino Linotype" w:hAnsi="Palatino Linotype" w:cstheme="minorHAnsi"/>
        </w:rPr>
        <w:t xml:space="preserve"> ve i</w:t>
      </w:r>
      <w:r w:rsidRPr="00111E88">
        <w:rPr>
          <w:rFonts w:ascii="Palatino Linotype" w:hAnsi="Palatino Linotype" w:cstheme="minorHAnsi"/>
        </w:rPr>
        <w:t>lgili kuralı Anayasa’nın 36. ve 2. maddelerine aykırı bulurken ş</w:t>
      </w:r>
      <w:r w:rsidR="0084664E">
        <w:rPr>
          <w:rFonts w:ascii="Palatino Linotype" w:hAnsi="Palatino Linotype" w:cstheme="minorHAnsi"/>
        </w:rPr>
        <w:t>unları söylemiştir;</w:t>
      </w:r>
      <w:r w:rsidRPr="00111E88">
        <w:rPr>
          <w:rFonts w:ascii="Palatino Linotype" w:hAnsi="Palatino Linotype" w:cstheme="minorHAnsi"/>
        </w:rPr>
        <w:t xml:space="preserve"> </w:t>
      </w:r>
      <w:r w:rsidRPr="0084664E">
        <w:rPr>
          <w:rFonts w:ascii="Palatino Linotype" w:hAnsi="Palatino Linotype" w:cstheme="minorHAnsi"/>
          <w:i/>
          <w:iCs/>
        </w:rPr>
        <w:t>“</w:t>
      </w:r>
      <w:r w:rsidR="0084664E" w:rsidRPr="0084664E">
        <w:rPr>
          <w:rFonts w:ascii="Palatino Linotype" w:hAnsi="Palatino Linotype" w:cstheme="minorHAnsi"/>
          <w:i/>
          <w:iCs/>
        </w:rPr>
        <w:t>k</w:t>
      </w:r>
      <w:r w:rsidRPr="0084664E">
        <w:rPr>
          <w:rFonts w:ascii="Palatino Linotype" w:hAnsi="Palatino Linotype" w:cstheme="minorHAnsi"/>
          <w:i/>
          <w:iCs/>
        </w:rPr>
        <w:t xml:space="preserve">ovuşturma aşamasında mağdur ile şikâyetçinin dava dosyasındaki tutanak ve belgelerden örnek alması hak arama özgürlüğünün bu bağlamda adil yargılanma hakkının ayrılmaz bir parçasını oluşturmaktadır. Böylece tutanak ve belgelerden örnek alınması mağdur ile şikâyetçiye muhakemenin seyrine yön vermek ve etki etmek olanağını da sağlayacaktır. İtiraz konusu ibare ile mağdur ile şikâyetçinin vekilleri olmaksızın dosyadaki tutanak ve belgelerden örnek alması engellenerek, yargı mercileri önünde davacı olarak iddiada bulunma, </w:t>
      </w:r>
      <w:r w:rsidRPr="0084664E">
        <w:rPr>
          <w:rFonts w:ascii="Palatino Linotype" w:hAnsi="Palatino Linotype" w:cstheme="minorHAnsi"/>
          <w:b/>
          <w:i/>
          <w:iCs/>
          <w:u w:val="single"/>
        </w:rPr>
        <w:t>bilgiye ulaşarak muhakemenin gidişatına yön verme haklarının sınırlandırılması hak arama özgürlüğü ile bağdaşmaz.</w:t>
      </w:r>
      <w:r w:rsidRPr="0084664E">
        <w:rPr>
          <w:rFonts w:ascii="Palatino Linotype" w:hAnsi="Palatino Linotype" w:cstheme="minorHAnsi"/>
          <w:i/>
          <w:iCs/>
        </w:rPr>
        <w:t xml:space="preserve"> Açıklanan nedenlerle itiraz konusu ibare Anayasanın 2. ve 36. maddelerine aykırıdır. İptali gerekir”</w:t>
      </w:r>
      <w:r w:rsidR="0084664E">
        <w:rPr>
          <w:rStyle w:val="DipnotBavurusu"/>
          <w:rFonts w:ascii="Palatino Linotype" w:hAnsi="Palatino Linotype" w:cstheme="minorHAnsi"/>
          <w:i/>
          <w:iCs/>
        </w:rPr>
        <w:footnoteReference w:id="2"/>
      </w:r>
      <w:r w:rsidRPr="00111E88">
        <w:rPr>
          <w:rFonts w:ascii="Palatino Linotype" w:hAnsi="Palatino Linotype" w:cstheme="minorHAnsi"/>
        </w:rPr>
        <w:t xml:space="preserve"> Bu kararla, açıkça telaffuz edilmese de, silahların eşitliği</w:t>
      </w:r>
      <w:r w:rsidR="0084664E">
        <w:rPr>
          <w:rFonts w:ascii="Palatino Linotype" w:hAnsi="Palatino Linotype" w:cstheme="minorHAnsi"/>
        </w:rPr>
        <w:t>,</w:t>
      </w:r>
      <w:r w:rsidRPr="00111E88">
        <w:rPr>
          <w:rFonts w:ascii="Palatino Linotype" w:hAnsi="Palatino Linotype" w:cstheme="minorHAnsi"/>
        </w:rPr>
        <w:t xml:space="preserve"> delile ulaşma ve yorum yapma hakları korunmuştur.</w:t>
      </w:r>
    </w:p>
    <w:p w14:paraId="35792C36" w14:textId="4DD0A251" w:rsidR="00F65BEE" w:rsidRPr="00111E88" w:rsidRDefault="00F65BEE" w:rsidP="00111E88">
      <w:pPr>
        <w:ind w:firstLine="567"/>
        <w:jc w:val="both"/>
        <w:rPr>
          <w:rFonts w:ascii="Palatino Linotype" w:hAnsi="Palatino Linotype" w:cstheme="minorHAnsi"/>
        </w:rPr>
      </w:pPr>
      <w:r w:rsidRPr="00111E88">
        <w:rPr>
          <w:rFonts w:ascii="Palatino Linotype" w:hAnsi="Palatino Linotype" w:cstheme="minorHAnsi"/>
        </w:rPr>
        <w:t xml:space="preserve">Bir ceza davasına ilişkin olan </w:t>
      </w:r>
      <w:r w:rsidRPr="00111E88">
        <w:rPr>
          <w:rFonts w:ascii="Palatino Linotype" w:hAnsi="Palatino Linotype" w:cstheme="minorHAnsi"/>
          <w:b/>
          <w:u w:val="single"/>
        </w:rPr>
        <w:t>Yankı Bağcıoğlu ve diğerleri</w:t>
      </w:r>
      <w:r w:rsidRPr="00111E88">
        <w:rPr>
          <w:rFonts w:ascii="Palatino Linotype" w:hAnsi="Palatino Linotype" w:cstheme="minorHAnsi"/>
        </w:rPr>
        <w:t xml:space="preserve"> başvurusunda ise </w:t>
      </w:r>
      <w:r w:rsidRPr="00111E88">
        <w:rPr>
          <w:rFonts w:ascii="Palatino Linotype" w:hAnsi="Palatino Linotype" w:cstheme="minorHAnsi"/>
          <w:b/>
        </w:rPr>
        <w:t>dijital deliller</w:t>
      </w:r>
      <w:r w:rsidRPr="00111E88">
        <w:rPr>
          <w:rFonts w:ascii="Palatino Linotype" w:hAnsi="Palatino Linotype" w:cstheme="minorHAnsi"/>
        </w:rPr>
        <w:t xml:space="preserve"> meselesi tartışılmıştır. Başvuruya konu olan olayda, </w:t>
      </w:r>
      <w:r w:rsidRPr="00111E88">
        <w:rPr>
          <w:rFonts w:ascii="Palatino Linotype" w:hAnsi="Palatino Linotype" w:cstheme="minorHAnsi"/>
          <w:b/>
          <w:u w:val="single"/>
        </w:rPr>
        <w:t>davanın temeli ve hükme esas alınan dijital kayıtlar hakkında sadece kolluk tarafından yapılan teknik tespitlerle yetinilmiş ve bu inceleme tutanaklarının başvuruculara verilmesi yönündeki talepler reddedilmiştir.</w:t>
      </w:r>
      <w:r w:rsidRPr="00111E88">
        <w:rPr>
          <w:rFonts w:ascii="Palatino Linotype" w:hAnsi="Palatino Linotype" w:cstheme="minorHAnsi"/>
        </w:rPr>
        <w:t xml:space="preserve"> </w:t>
      </w:r>
      <w:r w:rsidRPr="00111E88">
        <w:rPr>
          <w:rFonts w:ascii="Palatino Linotype" w:hAnsi="Palatino Linotype" w:cstheme="minorHAnsi"/>
          <w:u w:val="single"/>
        </w:rPr>
        <w:t>Başvuruculara ait olduğu iddia edilen dijital verilerin imajlarının verilmesine ilişkin talepleri de kabul edilmediğinden başvurucular dijital verilerin sıhhati konusunda herhangi bir bilirkişi incelemesi yaptıramamışlardır.</w:t>
      </w:r>
      <w:r w:rsidRPr="00111E88">
        <w:rPr>
          <w:rFonts w:ascii="Palatino Linotype" w:hAnsi="Palatino Linotype" w:cstheme="minorHAnsi"/>
        </w:rPr>
        <w:t xml:space="preserve"> Başvurucular, dijital bir verinin kullanıcı dosya yollarının, oluşturulma ve son kaydedilme tarihlerinin kolaylıkla değiştirilebileceğini veya manipüle edilebileceğini ya da eski tarihli olarak sonradan düzenlenebileceğini iddia etmektedirler. Ele geçirilen CD, Flash Bellek ve Hard Diskler içerisinde yer alan imzasız dijital verilerin verilerde isimleri yazılı kişi veya sanıklar bakımından hukuka uygun şekilde elde edilmiş bir delil olarak kabul edilmesinin adil yargılanma hakkının ihlali niteliğinde olduğunu</w:t>
      </w:r>
      <w:r w:rsidR="0084664E">
        <w:rPr>
          <w:rFonts w:ascii="Palatino Linotype" w:hAnsi="Palatino Linotype" w:cstheme="minorHAnsi"/>
        </w:rPr>
        <w:t xml:space="preserve"> ve</w:t>
      </w:r>
      <w:r w:rsidRPr="00111E88">
        <w:rPr>
          <w:rFonts w:ascii="Palatino Linotype" w:hAnsi="Palatino Linotype" w:cstheme="minorHAnsi"/>
        </w:rPr>
        <w:t xml:space="preserve"> hükme esas alınan dijital kayıtlar hakkında Deniz Kuvvetleri Komutanlığı’nın görüşüne mahkeme tarafından neden itibar edilmediğinin gerekçesinin bulunmadığını ileri sürmüşlerdir.</w:t>
      </w:r>
    </w:p>
    <w:p w14:paraId="417DA786" w14:textId="77777777" w:rsidR="00017647" w:rsidRDefault="00F65BEE" w:rsidP="00111E88">
      <w:pPr>
        <w:ind w:firstLine="567"/>
        <w:jc w:val="both"/>
        <w:rPr>
          <w:rFonts w:ascii="Palatino Linotype" w:hAnsi="Palatino Linotype" w:cstheme="minorHAnsi"/>
        </w:rPr>
      </w:pPr>
      <w:r w:rsidRPr="00111E88">
        <w:rPr>
          <w:rFonts w:ascii="Palatino Linotype" w:hAnsi="Palatino Linotype" w:cstheme="minorHAnsi"/>
        </w:rPr>
        <w:t xml:space="preserve">AYM’ye göre, adil yargılanma hakkının temel unsurlarından biri olan silahların eşitliği ilkesi, iddia makamının </w:t>
      </w:r>
      <w:r w:rsidRPr="00111E88">
        <w:rPr>
          <w:rFonts w:ascii="Palatino Linotype" w:hAnsi="Palatino Linotype" w:cstheme="minorHAnsi"/>
          <w:u w:val="thick"/>
        </w:rPr>
        <w:t>tanık veya bilirkişileri ile sanıkların tanık ve bilirkişilerinin duruşmalarda eşit muameleye tabi tutulmasın</w:t>
      </w:r>
      <w:r w:rsidRPr="00111E88">
        <w:rPr>
          <w:rFonts w:ascii="Palatino Linotype" w:hAnsi="Palatino Linotype" w:cstheme="minorHAnsi"/>
        </w:rPr>
        <w:t xml:space="preserve">ı gerektirir. Hem cezai hem de cezai olmayan davalarda uygulanan silahların eşitliği ilkesi, taraflara talep ve açıklamalarını diğer tarafa nazaran dezavantajlı olmayacak şekilde ileri sürebilmeleri için makul bir fırsat verilmesini gerektirir. Dava dosyasına sunulan belgelerin incelenmesi ve bu belgelerden suret alınması, mahkemenin kararına dayanak oluşturduğu bilirkişi raporlarına ulaşılması ve bunları edinme fırsatının tanınması, keza yargılamanın taraflarından birinin ileri sürdüğü delillere ve </w:t>
      </w:r>
      <w:r w:rsidRPr="00111E88">
        <w:rPr>
          <w:rFonts w:ascii="Palatino Linotype" w:hAnsi="Palatino Linotype" w:cstheme="minorHAnsi"/>
        </w:rPr>
        <w:lastRenderedPageBreak/>
        <w:t xml:space="preserve">belgelere karşı diğer tarafa itiraz etme, görüş açıklama ve bu delilleri çürütme, ayrıca karşı delil gösterme hakkının tanınması silahların eşitliği ilkesinin bir gereğidir. </w:t>
      </w:r>
    </w:p>
    <w:p w14:paraId="24D99869" w14:textId="03FB4F70" w:rsidR="00017647" w:rsidRDefault="00F65BEE" w:rsidP="00111E88">
      <w:pPr>
        <w:ind w:firstLine="567"/>
        <w:jc w:val="both"/>
        <w:rPr>
          <w:rFonts w:ascii="Palatino Linotype" w:hAnsi="Palatino Linotype" w:cstheme="minorHAnsi"/>
        </w:rPr>
      </w:pPr>
      <w:r w:rsidRPr="00111E88">
        <w:rPr>
          <w:rFonts w:ascii="Palatino Linotype" w:hAnsi="Palatino Linotype" w:cstheme="minorHAnsi"/>
        </w:rPr>
        <w:t>A</w:t>
      </w:r>
      <w:r w:rsidR="00017647">
        <w:rPr>
          <w:rFonts w:ascii="Palatino Linotype" w:hAnsi="Palatino Linotype" w:cstheme="minorHAnsi"/>
        </w:rPr>
        <w:t>ynı şekilde</w:t>
      </w:r>
      <w:r w:rsidRPr="00111E88">
        <w:rPr>
          <w:rFonts w:ascii="Palatino Linotype" w:hAnsi="Palatino Linotype" w:cstheme="minorHAnsi"/>
        </w:rPr>
        <w:t>, sanıklara isnat edilen eylemlerin esas olarak bilgisayar programlarıyla oluşturulmuş belgelere (CD, DVD, flash bellek, harici disk gibi) dayanması, bu belgelerin içeriklerinin maddi olay ve olguları yansıttığının ve gerçek olduklarının mahkemece kabul edilmesi ve başvurucuların talebi ile dinlenen uzman beyanında, bu verilerin müdahale edilebilir nitelikte olduğunun belirtilm</w:t>
      </w:r>
      <w:r w:rsidR="00017647">
        <w:rPr>
          <w:rFonts w:ascii="Palatino Linotype" w:hAnsi="Palatino Linotype" w:cstheme="minorHAnsi"/>
        </w:rPr>
        <w:t>esi</w:t>
      </w:r>
      <w:r w:rsidRPr="00111E88">
        <w:rPr>
          <w:rFonts w:ascii="Palatino Linotype" w:hAnsi="Palatino Linotype" w:cstheme="minorHAnsi"/>
        </w:rPr>
        <w:t xml:space="preserve"> karşısında, bilirkişiye başvurulmasının ve bir heyet tarafından verilecek raporların maddi gerçeğe ulaşmada önemsiz olduğu söylenemez. Dijital deliller üzerinde yapılacak teknik incelemenin suçların sübutu ve sanıkların bu suçlarla ilgisinin tespiti bakımından belirleyici olabileceği açıktır. Sözleşme’nin 6. maddesi çelişmeli yargılama ve silahların eşitliği ilkesi yanında, iddia makamının bütün maddi delilleri açıklamasını gerektirir. Fakat suçlamaya konu delillere erişim hakkı mutlak bir hak değildir. Ulusal güvenlik, tanıkların korunması vb. gibi tedbirlerle ve ancak zorunlu olduğu ölçüde savunma hakkı kısıtlanabilir. Bu amaçlarla bazı delillerin savunmadan saklı tutulması gerekebilir. Ancak savunma hakkını kısıtlayan bu yola kesinlikle gerekli olması halinde başvurulabilir. Böyle bir durumun varlığında bu sınırlamadan kaynaklanan zorlukların yargı makamlarınca başka </w:t>
      </w:r>
      <w:r w:rsidR="00A53591" w:rsidRPr="00111E88">
        <w:rPr>
          <w:rFonts w:ascii="Palatino Linotype" w:hAnsi="Palatino Linotype" w:cstheme="minorHAnsi"/>
        </w:rPr>
        <w:t>usullerle</w:t>
      </w:r>
      <w:r w:rsidRPr="00111E88">
        <w:rPr>
          <w:rFonts w:ascii="Palatino Linotype" w:hAnsi="Palatino Linotype" w:cstheme="minorHAnsi"/>
        </w:rPr>
        <w:t xml:space="preserve"> mutlaka dengelenme</w:t>
      </w:r>
      <w:r w:rsidR="00017647">
        <w:rPr>
          <w:rFonts w:ascii="Palatino Linotype" w:hAnsi="Palatino Linotype" w:cstheme="minorHAnsi"/>
        </w:rPr>
        <w:t>lidir</w:t>
      </w:r>
      <w:r w:rsidRPr="00111E88">
        <w:rPr>
          <w:rFonts w:ascii="Palatino Linotype" w:hAnsi="Palatino Linotype" w:cstheme="minorHAnsi"/>
        </w:rPr>
        <w:t xml:space="preserve">. Bu </w:t>
      </w:r>
      <w:r w:rsidR="00A53591" w:rsidRPr="00111E88">
        <w:rPr>
          <w:rFonts w:ascii="Palatino Linotype" w:hAnsi="Palatino Linotype" w:cstheme="minorHAnsi"/>
        </w:rPr>
        <w:t>usuller</w:t>
      </w:r>
      <w:r w:rsidRPr="00111E88">
        <w:rPr>
          <w:rFonts w:ascii="Palatino Linotype" w:hAnsi="Palatino Linotype" w:cstheme="minorHAnsi"/>
        </w:rPr>
        <w:t xml:space="preserve"> silahların eşitliği ilkesinin gereklerine uygun olmalı ve gerekli güvenceleri de içermelidir.</w:t>
      </w:r>
      <w:r w:rsidR="003F6209" w:rsidRPr="003F6209">
        <w:rPr>
          <w:rStyle w:val="DipnotBavurusu"/>
          <w:rFonts w:ascii="Palatino Linotype" w:hAnsi="Palatino Linotype" w:cstheme="minorHAnsi"/>
          <w:bCs/>
          <w:i/>
          <w:iCs/>
        </w:rPr>
        <w:t xml:space="preserve"> </w:t>
      </w:r>
      <w:r w:rsidR="003F6209">
        <w:rPr>
          <w:rStyle w:val="DipnotBavurusu"/>
          <w:rFonts w:ascii="Palatino Linotype" w:hAnsi="Palatino Linotype" w:cstheme="minorHAnsi"/>
          <w:bCs/>
          <w:i/>
          <w:iCs/>
        </w:rPr>
        <w:footnoteReference w:id="3"/>
      </w:r>
    </w:p>
    <w:p w14:paraId="53B4EC73" w14:textId="5DF80C0D" w:rsidR="00F65BEE" w:rsidRPr="00111E88" w:rsidRDefault="00F65BEE" w:rsidP="00111E88">
      <w:pPr>
        <w:ind w:firstLine="567"/>
        <w:jc w:val="both"/>
        <w:rPr>
          <w:rFonts w:ascii="Palatino Linotype" w:hAnsi="Palatino Linotype" w:cstheme="minorHAnsi"/>
          <w:b/>
          <w:u w:val="thick"/>
        </w:rPr>
      </w:pPr>
      <w:r w:rsidRPr="00111E88">
        <w:rPr>
          <w:rFonts w:ascii="Palatino Linotype" w:hAnsi="Palatino Linotype" w:cstheme="minorHAnsi"/>
          <w:b/>
          <w:u w:val="thick"/>
        </w:rPr>
        <w:t>2</w:t>
      </w:r>
      <w:r w:rsidR="00017647">
        <w:rPr>
          <w:rFonts w:ascii="Palatino Linotype" w:hAnsi="Palatino Linotype" w:cstheme="minorHAnsi"/>
          <w:b/>
          <w:u w:val="thick"/>
        </w:rPr>
        <w:t xml:space="preserve">. </w:t>
      </w:r>
      <w:r w:rsidRPr="00111E88">
        <w:rPr>
          <w:rFonts w:ascii="Palatino Linotype" w:hAnsi="Palatino Linotype" w:cstheme="minorHAnsi"/>
          <w:b/>
          <w:u w:val="thick"/>
        </w:rPr>
        <w:t xml:space="preserve">Delile </w:t>
      </w:r>
      <w:r w:rsidR="00017647">
        <w:rPr>
          <w:rFonts w:ascii="Palatino Linotype" w:hAnsi="Palatino Linotype" w:cstheme="minorHAnsi"/>
          <w:b/>
          <w:u w:val="thick"/>
        </w:rPr>
        <w:t>U</w:t>
      </w:r>
      <w:r w:rsidRPr="00111E88">
        <w:rPr>
          <w:rFonts w:ascii="Palatino Linotype" w:hAnsi="Palatino Linotype" w:cstheme="minorHAnsi"/>
          <w:b/>
          <w:u w:val="thick"/>
        </w:rPr>
        <w:t xml:space="preserve">laşma ve </w:t>
      </w:r>
      <w:r w:rsidR="00017647">
        <w:rPr>
          <w:rFonts w:ascii="Palatino Linotype" w:hAnsi="Palatino Linotype" w:cstheme="minorHAnsi"/>
          <w:b/>
          <w:u w:val="thick"/>
        </w:rPr>
        <w:t>Y</w:t>
      </w:r>
      <w:r w:rsidRPr="00111E88">
        <w:rPr>
          <w:rFonts w:ascii="Palatino Linotype" w:hAnsi="Palatino Linotype" w:cstheme="minorHAnsi"/>
          <w:b/>
          <w:u w:val="thick"/>
        </w:rPr>
        <w:t xml:space="preserve">orum </w:t>
      </w:r>
      <w:r w:rsidR="00017647">
        <w:rPr>
          <w:rFonts w:ascii="Palatino Linotype" w:hAnsi="Palatino Linotype" w:cstheme="minorHAnsi"/>
          <w:b/>
          <w:u w:val="thick"/>
        </w:rPr>
        <w:t>Y</w:t>
      </w:r>
      <w:r w:rsidRPr="00111E88">
        <w:rPr>
          <w:rFonts w:ascii="Palatino Linotype" w:hAnsi="Palatino Linotype" w:cstheme="minorHAnsi"/>
          <w:b/>
          <w:u w:val="thick"/>
        </w:rPr>
        <w:t xml:space="preserve">apma </w:t>
      </w:r>
      <w:r w:rsidR="00017647">
        <w:rPr>
          <w:rFonts w:ascii="Palatino Linotype" w:hAnsi="Palatino Linotype" w:cstheme="minorHAnsi"/>
          <w:b/>
          <w:u w:val="thick"/>
        </w:rPr>
        <w:t>H</w:t>
      </w:r>
      <w:r w:rsidRPr="00111E88">
        <w:rPr>
          <w:rFonts w:ascii="Palatino Linotype" w:hAnsi="Palatino Linotype" w:cstheme="minorHAnsi"/>
          <w:b/>
          <w:u w:val="thick"/>
        </w:rPr>
        <w:t>akkı</w:t>
      </w:r>
    </w:p>
    <w:p w14:paraId="5EDFE10D" w14:textId="7365F6A0" w:rsidR="00F65BEE" w:rsidRPr="00111E88" w:rsidRDefault="00017647" w:rsidP="00111E88">
      <w:pPr>
        <w:ind w:firstLine="567"/>
        <w:jc w:val="both"/>
        <w:rPr>
          <w:rFonts w:ascii="Palatino Linotype" w:hAnsi="Palatino Linotype" w:cstheme="minorHAnsi"/>
        </w:rPr>
      </w:pPr>
      <w:r>
        <w:rPr>
          <w:rFonts w:ascii="Palatino Linotype" w:hAnsi="Palatino Linotype" w:cstheme="minorHAnsi"/>
        </w:rPr>
        <w:t>AİHM’e g</w:t>
      </w:r>
      <w:r w:rsidR="00F65BEE" w:rsidRPr="00111E88">
        <w:rPr>
          <w:rFonts w:ascii="Palatino Linotype" w:hAnsi="Palatino Linotype" w:cstheme="minorHAnsi"/>
        </w:rPr>
        <w:t xml:space="preserve">öre, hakkaniyete uygun yargılanma ilkesi </w:t>
      </w:r>
      <w:r w:rsidR="00F65BEE" w:rsidRPr="00111E88">
        <w:rPr>
          <w:rFonts w:ascii="Palatino Linotype" w:hAnsi="Palatino Linotype" w:cstheme="minorHAnsi"/>
          <w:b/>
        </w:rPr>
        <w:t xml:space="preserve">belgelerin ifşa edilmesini </w:t>
      </w:r>
      <w:r w:rsidR="00F65BEE" w:rsidRPr="00111E88">
        <w:rPr>
          <w:rFonts w:ascii="Palatino Linotype" w:hAnsi="Palatino Linotype" w:cstheme="minorHAnsi"/>
        </w:rPr>
        <w:t>gerektirir; böylece başvurucu belgelerin davayla ilgisini ve ağırlığını değerlendirerek, kendisine uygun olan yorumu formüle edecektir</w:t>
      </w:r>
      <w:r w:rsidR="00F65BEE" w:rsidRPr="00017647">
        <w:rPr>
          <w:rFonts w:ascii="Palatino Linotype" w:hAnsi="Palatino Linotype" w:cstheme="minorHAnsi"/>
          <w:bCs/>
        </w:rPr>
        <w:t>.</w:t>
      </w:r>
      <w:r>
        <w:rPr>
          <w:rStyle w:val="DipnotBavurusu"/>
          <w:rFonts w:ascii="Palatino Linotype" w:hAnsi="Palatino Linotype" w:cstheme="minorHAnsi"/>
          <w:bCs/>
        </w:rPr>
        <w:footnoteReference w:id="4"/>
      </w:r>
      <w:r>
        <w:rPr>
          <w:rFonts w:ascii="Palatino Linotype" w:hAnsi="Palatino Linotype" w:cstheme="minorHAnsi"/>
          <w:b/>
        </w:rPr>
        <w:t xml:space="preserve"> </w:t>
      </w:r>
    </w:p>
    <w:p w14:paraId="4DC9916E" w14:textId="034B8F1F" w:rsidR="00F65BEE" w:rsidRPr="00111E88" w:rsidRDefault="00F65BEE" w:rsidP="00111E88">
      <w:pPr>
        <w:ind w:firstLine="567"/>
        <w:jc w:val="both"/>
        <w:rPr>
          <w:rFonts w:ascii="Palatino Linotype" w:hAnsi="Palatino Linotype" w:cstheme="minorHAnsi"/>
          <w:b/>
        </w:rPr>
      </w:pPr>
      <w:r w:rsidRPr="00111E88">
        <w:rPr>
          <w:rFonts w:ascii="Palatino Linotype" w:hAnsi="Palatino Linotype" w:cstheme="minorHAnsi"/>
        </w:rPr>
        <w:t xml:space="preserve">Sözleşmenin 6. maddesinin 1. fıkrası ve 3. fıkrasının b bendi (sanığın gerekli kolaylıklara sahip olma hakkı) gereğince( </w:t>
      </w:r>
      <w:r w:rsidR="00017647">
        <w:rPr>
          <w:rFonts w:ascii="Palatino Linotype" w:hAnsi="Palatino Linotype" w:cstheme="minorHAnsi"/>
        </w:rPr>
        <w:t>m</w:t>
      </w:r>
      <w:r w:rsidRPr="00111E88">
        <w:rPr>
          <w:rFonts w:ascii="Palatino Linotype" w:hAnsi="Palatino Linotype" w:cstheme="minorHAnsi"/>
        </w:rPr>
        <w:t xml:space="preserve">adde 6/3-b: (suç isnat edilen kişi) </w:t>
      </w:r>
      <w:r w:rsidR="00A53591" w:rsidRPr="00111E88">
        <w:rPr>
          <w:rFonts w:ascii="Palatino Linotype" w:hAnsi="Palatino Linotype" w:cstheme="minorHAnsi"/>
        </w:rPr>
        <w:t>müdafaasını</w:t>
      </w:r>
      <w:r w:rsidRPr="00111E88">
        <w:rPr>
          <w:rFonts w:ascii="Palatino Linotype" w:hAnsi="Palatino Linotype" w:cstheme="minorHAnsi"/>
        </w:rPr>
        <w:t xml:space="preserve"> hazırlamak için gerekli zamana ve kolaylıklara malik olmak (hakkına sahiptir), savcılığın topladığı, sanığın lehine ve aleyhine olan maddi delilleri kovuşturma aşamasında savunmaya açıklama yükümlülüğü vardır</w:t>
      </w:r>
      <w:r w:rsidR="00017647">
        <w:rPr>
          <w:rFonts w:ascii="Palatino Linotype" w:hAnsi="Palatino Linotype" w:cstheme="minorHAnsi"/>
        </w:rPr>
        <w:t xml:space="preserve"> ve</w:t>
      </w:r>
      <w:r w:rsidRPr="00111E88">
        <w:rPr>
          <w:rFonts w:ascii="Palatino Linotype" w:hAnsi="Palatino Linotype" w:cstheme="minorHAnsi"/>
        </w:rPr>
        <w:t xml:space="preserve"> bunun yapılmaması yargılamada bir kusur olduğunu gösterir. Delilleri açıklama yükümlülüğü, yetkili makamlar tarafından toplanmış veya toplanabilecek bütün belgeler ve olayları kapsamaktadır. Bu yükümlülüğün yerine getirilmemesi, yargılamanın bütününün değerlendirilmesine bağlı olarak bir hakkaniyetsizliği ortaya çıkarabilir</w:t>
      </w:r>
      <w:r w:rsidRPr="00017647">
        <w:rPr>
          <w:rFonts w:ascii="Palatino Linotype" w:hAnsi="Palatino Linotype" w:cstheme="minorHAnsi"/>
          <w:bCs/>
        </w:rPr>
        <w:t>.</w:t>
      </w:r>
      <w:r w:rsidR="00017647">
        <w:rPr>
          <w:rStyle w:val="DipnotBavurusu"/>
          <w:rFonts w:ascii="Palatino Linotype" w:hAnsi="Palatino Linotype" w:cstheme="minorHAnsi"/>
          <w:bCs/>
        </w:rPr>
        <w:footnoteReference w:id="5"/>
      </w:r>
    </w:p>
    <w:p w14:paraId="48DCFD68" w14:textId="40D72CE8" w:rsidR="00F65BEE" w:rsidRPr="00111E88" w:rsidRDefault="00F65BEE" w:rsidP="00111E88">
      <w:pPr>
        <w:ind w:firstLine="567"/>
        <w:jc w:val="both"/>
        <w:rPr>
          <w:rFonts w:ascii="Palatino Linotype" w:hAnsi="Palatino Linotype" w:cstheme="minorHAnsi"/>
          <w:b/>
        </w:rPr>
      </w:pPr>
      <w:r w:rsidRPr="00111E88">
        <w:rPr>
          <w:rFonts w:ascii="Palatino Linotype" w:hAnsi="Palatino Linotype" w:cstheme="minorHAnsi"/>
        </w:rPr>
        <w:t>Ceza yargılamasının temel amacı maddi gerçeği</w:t>
      </w:r>
      <w:r w:rsidR="003F6209">
        <w:rPr>
          <w:rFonts w:ascii="Palatino Linotype" w:hAnsi="Palatino Linotype" w:cstheme="minorHAnsi"/>
        </w:rPr>
        <w:t xml:space="preserve"> </w:t>
      </w:r>
      <w:r w:rsidRPr="00111E88">
        <w:rPr>
          <w:rFonts w:ascii="Palatino Linotype" w:hAnsi="Palatino Linotype" w:cstheme="minorHAnsi"/>
        </w:rPr>
        <w:t xml:space="preserve">hukukun öngördüğü </w:t>
      </w:r>
      <w:r w:rsidR="003F6209" w:rsidRPr="00111E88">
        <w:rPr>
          <w:rFonts w:ascii="Palatino Linotype" w:hAnsi="Palatino Linotype" w:cstheme="minorHAnsi"/>
        </w:rPr>
        <w:t>usule</w:t>
      </w:r>
      <w:r w:rsidRPr="00111E88">
        <w:rPr>
          <w:rFonts w:ascii="Palatino Linotype" w:hAnsi="Palatino Linotype" w:cstheme="minorHAnsi"/>
        </w:rPr>
        <w:t xml:space="preserve"> uygun </w:t>
      </w:r>
      <w:r w:rsidR="003F6209">
        <w:rPr>
          <w:rFonts w:ascii="Palatino Linotype" w:hAnsi="Palatino Linotype" w:cstheme="minorHAnsi"/>
        </w:rPr>
        <w:t>şekilde</w:t>
      </w:r>
      <w:r w:rsidRPr="00111E88">
        <w:rPr>
          <w:rFonts w:ascii="Palatino Linotype" w:hAnsi="Palatino Linotype" w:cstheme="minorHAnsi"/>
        </w:rPr>
        <w:t xml:space="preserve"> ortaya çıkarmaktır. Bu amaca uygun olarak yargılama makamının önüne getirilen delillerin ve buna dayanan isnadın çelişmeli yargılama ilkesine uygun olarak tartışılması gerekir</w:t>
      </w:r>
      <w:r w:rsidRPr="00111E88">
        <w:rPr>
          <w:rFonts w:ascii="Palatino Linotype" w:hAnsi="Palatino Linotype" w:cstheme="minorHAnsi"/>
          <w:b/>
        </w:rPr>
        <w:t>.</w:t>
      </w:r>
      <w:r w:rsidR="003F6209">
        <w:rPr>
          <w:rFonts w:ascii="Palatino Linotype" w:hAnsi="Palatino Linotype" w:cstheme="minorHAnsi"/>
          <w:b/>
        </w:rPr>
        <w:t xml:space="preserve"> </w:t>
      </w:r>
      <w:r w:rsidRPr="00111E88">
        <w:rPr>
          <w:rFonts w:ascii="Palatino Linotype" w:hAnsi="Palatino Linotype" w:cstheme="minorHAnsi"/>
        </w:rPr>
        <w:t>Örneğin Cezair Akgül başvurusunda</w:t>
      </w:r>
      <w:r w:rsidR="003F6209">
        <w:rPr>
          <w:rFonts w:ascii="Palatino Linotype" w:hAnsi="Palatino Linotype" w:cstheme="minorHAnsi"/>
        </w:rPr>
        <w:t xml:space="preserve"> AYM,</w:t>
      </w:r>
      <w:r w:rsidRPr="00111E88">
        <w:rPr>
          <w:rFonts w:ascii="Palatino Linotype" w:hAnsi="Palatino Linotype" w:cstheme="minorHAnsi"/>
        </w:rPr>
        <w:t xml:space="preserve"> mahkûmiyete esas alınan telefon konuşmalarına ilişkin çözüm tutanaklarının duruşmada okunmaması</w:t>
      </w:r>
      <w:r w:rsidR="003F6209">
        <w:rPr>
          <w:rFonts w:ascii="Palatino Linotype" w:hAnsi="Palatino Linotype" w:cstheme="minorHAnsi"/>
        </w:rPr>
        <w:t>nı ve</w:t>
      </w:r>
      <w:r w:rsidRPr="00111E88">
        <w:rPr>
          <w:rFonts w:ascii="Palatino Linotype" w:hAnsi="Palatino Linotype" w:cstheme="minorHAnsi"/>
        </w:rPr>
        <w:t xml:space="preserve"> başvurucunun bu </w:t>
      </w:r>
      <w:r w:rsidRPr="00111E88">
        <w:rPr>
          <w:rFonts w:ascii="Palatino Linotype" w:hAnsi="Palatino Linotype" w:cstheme="minorHAnsi"/>
        </w:rPr>
        <w:lastRenderedPageBreak/>
        <w:t>delilin davayla ilgisini ve ağırlığını değerlendirerek güvenirliği hususundaki iddia ve itirazlarını dile getirebilme olanağını elinden al</w:t>
      </w:r>
      <w:r w:rsidR="003F6209">
        <w:rPr>
          <w:rFonts w:ascii="Palatino Linotype" w:hAnsi="Palatino Linotype" w:cstheme="minorHAnsi"/>
        </w:rPr>
        <w:t>masını</w:t>
      </w:r>
      <w:r w:rsidRPr="00111E88">
        <w:rPr>
          <w:rFonts w:ascii="Palatino Linotype" w:hAnsi="Palatino Linotype" w:cstheme="minorHAnsi"/>
        </w:rPr>
        <w:t xml:space="preserve"> çelişmeli yargılama ilkesi</w:t>
      </w:r>
      <w:r w:rsidR="003F6209">
        <w:rPr>
          <w:rFonts w:ascii="Palatino Linotype" w:hAnsi="Palatino Linotype" w:cstheme="minorHAnsi"/>
        </w:rPr>
        <w:t>ne aykırı bulmuştur</w:t>
      </w:r>
      <w:r w:rsidRPr="00111E88">
        <w:rPr>
          <w:rFonts w:ascii="Palatino Linotype" w:hAnsi="Palatino Linotype" w:cstheme="minorHAnsi"/>
          <w:b/>
        </w:rPr>
        <w:t>.</w:t>
      </w:r>
      <w:r w:rsidR="003F6209">
        <w:rPr>
          <w:rStyle w:val="DipnotBavurusu"/>
          <w:rFonts w:ascii="Palatino Linotype" w:hAnsi="Palatino Linotype" w:cstheme="minorHAnsi"/>
          <w:b/>
        </w:rPr>
        <w:footnoteReference w:id="6"/>
      </w:r>
      <w:r w:rsidRPr="00111E88">
        <w:rPr>
          <w:rFonts w:ascii="Palatino Linotype" w:hAnsi="Palatino Linotype" w:cstheme="minorHAnsi"/>
          <w:b/>
        </w:rPr>
        <w:t xml:space="preserve"> </w:t>
      </w:r>
    </w:p>
    <w:p w14:paraId="60F24D74" w14:textId="7E14A75D" w:rsidR="00F65BEE" w:rsidRPr="00111E88" w:rsidRDefault="00F65BEE" w:rsidP="00111E88">
      <w:pPr>
        <w:ind w:firstLine="567"/>
        <w:jc w:val="both"/>
        <w:rPr>
          <w:rFonts w:ascii="Palatino Linotype" w:hAnsi="Palatino Linotype" w:cstheme="minorHAnsi"/>
          <w:b/>
        </w:rPr>
      </w:pPr>
      <w:r w:rsidRPr="00111E88">
        <w:rPr>
          <w:rFonts w:ascii="Palatino Linotype" w:hAnsi="Palatino Linotype" w:cstheme="minorHAnsi"/>
        </w:rPr>
        <w:t>İlke gereği savunma ile iddia makamı davasın</w:t>
      </w:r>
      <w:r w:rsidR="003F6209">
        <w:rPr>
          <w:rFonts w:ascii="Palatino Linotype" w:hAnsi="Palatino Linotype" w:cstheme="minorHAnsi"/>
        </w:rPr>
        <w:t>a</w:t>
      </w:r>
      <w:r w:rsidRPr="00111E88">
        <w:rPr>
          <w:rFonts w:ascii="Palatino Linotype" w:hAnsi="Palatino Linotype" w:cstheme="minorHAnsi"/>
        </w:rPr>
        <w:t xml:space="preserve"> hazırla</w:t>
      </w:r>
      <w:r w:rsidR="003F6209">
        <w:rPr>
          <w:rFonts w:ascii="Palatino Linotype" w:hAnsi="Palatino Linotype" w:cstheme="minorHAnsi"/>
        </w:rPr>
        <w:t>n</w:t>
      </w:r>
      <w:r w:rsidRPr="00111E88">
        <w:rPr>
          <w:rFonts w:ascii="Palatino Linotype" w:hAnsi="Palatino Linotype" w:cstheme="minorHAnsi"/>
        </w:rPr>
        <w:t xml:space="preserve">ma ve </w:t>
      </w:r>
      <w:r w:rsidR="003F6209">
        <w:rPr>
          <w:rFonts w:ascii="Palatino Linotype" w:hAnsi="Palatino Linotype" w:cstheme="minorHAnsi"/>
        </w:rPr>
        <w:t xml:space="preserve">argümanlarını </w:t>
      </w:r>
      <w:r w:rsidRPr="00111E88">
        <w:rPr>
          <w:rFonts w:ascii="Palatino Linotype" w:hAnsi="Palatino Linotype" w:cstheme="minorHAnsi"/>
        </w:rPr>
        <w:t xml:space="preserve">sunmada aynı imkanlara sahip olmalıdır. Silahların eşitliği ilkesi, ceza yargılamasında asgari olarak iddia makamı tarafından gösterilen ve edinilen maddi bilgilerin açıklanmasını, dava dosyasının incelenmesi konusunda iddia makamıyla savunma arasında bir farkın </w:t>
      </w:r>
      <w:r w:rsidR="003F6209">
        <w:rPr>
          <w:rFonts w:ascii="Palatino Linotype" w:hAnsi="Palatino Linotype" w:cstheme="minorHAnsi"/>
        </w:rPr>
        <w:t>bulunmamasını gerektirir</w:t>
      </w:r>
      <w:r w:rsidRPr="00111E88">
        <w:rPr>
          <w:rFonts w:ascii="Palatino Linotype" w:hAnsi="Palatino Linotype" w:cstheme="minorHAnsi"/>
        </w:rPr>
        <w:t>. Dava dosyasına sunulan belgelerin incelenmesi ve bu belgelerden suret alınması, mahkemenin kararına dayanak oluşturan bilirkişi raporlarına ulaşılması ve bunları edinme fırsatı</w:t>
      </w:r>
      <w:r w:rsidR="003F6209">
        <w:rPr>
          <w:rFonts w:ascii="Palatino Linotype" w:hAnsi="Palatino Linotype" w:cstheme="minorHAnsi"/>
        </w:rPr>
        <w:t xml:space="preserve"> sunulmasını,</w:t>
      </w:r>
      <w:r w:rsidRPr="00111E88">
        <w:rPr>
          <w:rFonts w:ascii="Palatino Linotype" w:hAnsi="Palatino Linotype" w:cstheme="minorHAnsi"/>
        </w:rPr>
        <w:t xml:space="preserve"> keza yargılamanın taraflarından birinin ileri sürdüğü delillere ve belgelere karşı diğer tarafa itiraz etme, görüş açıklama ve bu delilleri çürütme</w:t>
      </w:r>
      <w:r w:rsidR="003F6209">
        <w:rPr>
          <w:rFonts w:ascii="Palatino Linotype" w:hAnsi="Palatino Linotype" w:cstheme="minorHAnsi"/>
        </w:rPr>
        <w:t xml:space="preserve"> ile </w:t>
      </w:r>
      <w:r w:rsidRPr="00111E88">
        <w:rPr>
          <w:rFonts w:ascii="Palatino Linotype" w:hAnsi="Palatino Linotype" w:cstheme="minorHAnsi"/>
        </w:rPr>
        <w:t>karşı delil gösterme hakkının tanınması silahların eşitliği ilkesinin bir gereğidir</w:t>
      </w:r>
      <w:r w:rsidRPr="00111E88">
        <w:rPr>
          <w:rFonts w:ascii="Palatino Linotype" w:hAnsi="Palatino Linotype" w:cstheme="minorHAnsi"/>
          <w:b/>
        </w:rPr>
        <w:t>.</w:t>
      </w:r>
      <w:r w:rsidR="003F6209">
        <w:rPr>
          <w:rStyle w:val="DipnotBavurusu"/>
          <w:rFonts w:ascii="Palatino Linotype" w:hAnsi="Palatino Linotype" w:cstheme="minorHAnsi"/>
          <w:b/>
        </w:rPr>
        <w:footnoteReference w:id="7"/>
      </w:r>
      <w:r w:rsidR="003F6209">
        <w:rPr>
          <w:rFonts w:ascii="Palatino Linotype" w:hAnsi="Palatino Linotype" w:cstheme="minorHAnsi"/>
          <w:b/>
        </w:rPr>
        <w:t xml:space="preserve"> </w:t>
      </w:r>
    </w:p>
    <w:p w14:paraId="4A9250B4" w14:textId="722A92D6" w:rsidR="00F65BEE" w:rsidRPr="00111E88" w:rsidRDefault="00F65BEE" w:rsidP="00111E88">
      <w:pPr>
        <w:ind w:firstLine="567"/>
        <w:jc w:val="both"/>
        <w:rPr>
          <w:rFonts w:ascii="Palatino Linotype" w:hAnsi="Palatino Linotype" w:cstheme="minorHAnsi"/>
          <w:b/>
        </w:rPr>
      </w:pPr>
      <w:r w:rsidRPr="00111E88">
        <w:rPr>
          <w:rFonts w:ascii="Palatino Linotype" w:hAnsi="Palatino Linotype" w:cstheme="minorHAnsi"/>
        </w:rPr>
        <w:t xml:space="preserve"> Yankı Bağcıoğlu ve diğerleri başvurusuna konu olayda, davanın temeli ve hükme esas alınan dijital kayıtlar hakkında sadece kolluk tarafından yapılan teknik tespitlerle yetinilmiş ve hem bu inceleme tutanaklarını, hem de dijital verilerin imajları başvuruculara verilmemiş, delil olarak ileri sürülen tüm dijital materyaller ile ilgili olarak kapsamlı bir bilirkişi incelemesi yaptırılması talepleri devlet sırrı olduğu gerekçesiyle reddedilmiştir. Dijital deliller üzerinde yapılacak teknik incelemenin suçların sübutu ve sanıkların bu suçlarla ilgisinin tespiti bakımından belirleyici olduğu bu </w:t>
      </w:r>
      <w:r w:rsidR="003F6209">
        <w:rPr>
          <w:rFonts w:ascii="Palatino Linotype" w:hAnsi="Palatino Linotype" w:cstheme="minorHAnsi"/>
        </w:rPr>
        <w:t>başvuruda</w:t>
      </w:r>
      <w:r w:rsidRPr="00111E88">
        <w:rPr>
          <w:rFonts w:ascii="Palatino Linotype" w:hAnsi="Palatino Linotype" w:cstheme="minorHAnsi"/>
        </w:rPr>
        <w:t xml:space="preserve"> AYM ş</w:t>
      </w:r>
      <w:r w:rsidR="003F6209">
        <w:rPr>
          <w:rFonts w:ascii="Palatino Linotype" w:hAnsi="Palatino Linotype" w:cstheme="minorHAnsi"/>
        </w:rPr>
        <w:t>unları söylemiştir;</w:t>
      </w:r>
      <w:r w:rsidRPr="00111E88">
        <w:rPr>
          <w:rFonts w:ascii="Palatino Linotype" w:hAnsi="Palatino Linotype" w:cstheme="minorHAnsi"/>
        </w:rPr>
        <w:t xml:space="preserve"> </w:t>
      </w:r>
      <w:r w:rsidRPr="003F6209">
        <w:rPr>
          <w:rFonts w:ascii="Palatino Linotype" w:hAnsi="Palatino Linotype" w:cstheme="minorHAnsi"/>
          <w:i/>
          <w:iCs/>
        </w:rPr>
        <w:t>“</w:t>
      </w:r>
      <w:r w:rsidR="003F6209" w:rsidRPr="003F6209">
        <w:rPr>
          <w:rFonts w:ascii="Palatino Linotype" w:hAnsi="Palatino Linotype" w:cstheme="minorHAnsi"/>
          <w:i/>
          <w:iCs/>
        </w:rPr>
        <w:t>m</w:t>
      </w:r>
      <w:r w:rsidRPr="003F6209">
        <w:rPr>
          <w:rFonts w:ascii="Palatino Linotype" w:hAnsi="Palatino Linotype" w:cstheme="minorHAnsi"/>
          <w:i/>
          <w:iCs/>
        </w:rPr>
        <w:t>ahkemece delillerin bu şekilde gizlenmiş olması, özellikle de devlet sırrı gerekçesiyle delillerin savunma makamına açılmaması ve incelettirilmemiş olması, başvurucuların, dijital delillerin sıhhati konusundaki iddialarını tam olarak ileri sürmesini imkânsız kılmıştır. Oysa Mahkeme, bu dijital delillere göre bir değerlendirme yaparak mahkûmiyet kararı vermiş ve Yargıtay tarafından aynı nedenlerle verilen hüküm onanmıştır... Bu koşullarda Mahkemece izlenen usul ve yöntemin, silahların eşitliği ilkesinin gereklerine uygun olmadığı ve başvurucunun menfaatlerini yeterince koruyan bir güvence içermediği açıktır</w:t>
      </w:r>
      <w:r w:rsidRPr="003F6209">
        <w:rPr>
          <w:rFonts w:ascii="Palatino Linotype" w:hAnsi="Palatino Linotype" w:cstheme="minorHAnsi"/>
          <w:bCs/>
        </w:rPr>
        <w:t>.”</w:t>
      </w:r>
      <w:r w:rsidR="003F6209">
        <w:rPr>
          <w:rStyle w:val="DipnotBavurusu"/>
          <w:rFonts w:ascii="Palatino Linotype" w:hAnsi="Palatino Linotype" w:cstheme="minorHAnsi"/>
          <w:bCs/>
        </w:rPr>
        <w:footnoteReference w:id="8"/>
      </w:r>
      <w:r w:rsidR="003F6209" w:rsidRPr="003F6209">
        <w:rPr>
          <w:rFonts w:ascii="Palatino Linotype" w:hAnsi="Palatino Linotype" w:cstheme="minorHAnsi"/>
          <w:bCs/>
        </w:rPr>
        <w:t xml:space="preserve"> </w:t>
      </w:r>
    </w:p>
    <w:p w14:paraId="639FC1E9" w14:textId="77777777" w:rsidR="00233FF7" w:rsidRDefault="00233FF7" w:rsidP="00111E88">
      <w:pPr>
        <w:ind w:firstLine="567"/>
        <w:jc w:val="both"/>
        <w:rPr>
          <w:rFonts w:ascii="Palatino Linotype" w:hAnsi="Palatino Linotype" w:cstheme="minorHAnsi"/>
          <w:b/>
          <w:u w:val="thick"/>
        </w:rPr>
      </w:pPr>
      <w:r>
        <w:rPr>
          <w:rFonts w:ascii="Palatino Linotype" w:hAnsi="Palatino Linotype" w:cstheme="minorHAnsi"/>
          <w:b/>
          <w:u w:val="thick"/>
        </w:rPr>
        <w:t>NETİCE VE TALEP</w:t>
      </w:r>
    </w:p>
    <w:p w14:paraId="6A2EE301" w14:textId="0121E0CF" w:rsidR="00F65BEE" w:rsidRPr="00111E88" w:rsidRDefault="00F65BEE" w:rsidP="00111E88">
      <w:pPr>
        <w:ind w:firstLine="567"/>
        <w:jc w:val="both"/>
        <w:rPr>
          <w:rFonts w:ascii="Palatino Linotype" w:hAnsi="Palatino Linotype" w:cstheme="minorHAnsi"/>
        </w:rPr>
      </w:pPr>
      <w:r w:rsidRPr="00111E88">
        <w:rPr>
          <w:rFonts w:ascii="Palatino Linotype" w:hAnsi="Palatino Linotype" w:cstheme="minorHAnsi"/>
        </w:rPr>
        <w:t xml:space="preserve">Yukarıda açıklanan </w:t>
      </w:r>
      <w:r w:rsidR="00233FF7">
        <w:rPr>
          <w:rFonts w:ascii="Palatino Linotype" w:hAnsi="Palatino Linotype" w:cstheme="minorHAnsi"/>
        </w:rPr>
        <w:t>nedenlerle,</w:t>
      </w:r>
      <w:r w:rsidRPr="00111E88">
        <w:rPr>
          <w:rFonts w:ascii="Palatino Linotype" w:hAnsi="Palatino Linotype" w:cstheme="minorHAnsi"/>
        </w:rPr>
        <w:t xml:space="preserve"> isnat edilen suçu kabul etmediğimden yazışmaların/bilgilerin içinde olduğu iddia edilen ve</w:t>
      </w:r>
      <w:r w:rsidR="000A08B0" w:rsidRPr="00111E88">
        <w:rPr>
          <w:rFonts w:ascii="Palatino Linotype" w:hAnsi="Palatino Linotype" w:cstheme="minorHAnsi"/>
        </w:rPr>
        <w:t xml:space="preserve"> Garson kod adlı gizli tanık tarafından rızasıyla teslim edildiği iddia edilip</w:t>
      </w:r>
      <w:r w:rsidRPr="00111E88">
        <w:rPr>
          <w:rFonts w:ascii="Palatino Linotype" w:hAnsi="Palatino Linotype" w:cstheme="minorHAnsi"/>
          <w:color w:val="FF0000"/>
        </w:rPr>
        <w:t xml:space="preserve"> </w:t>
      </w:r>
      <w:r w:rsidRPr="00111E88">
        <w:rPr>
          <w:rFonts w:ascii="Palatino Linotype" w:hAnsi="Palatino Linotype" w:cstheme="minorHAnsi"/>
        </w:rPr>
        <w:t>Ankara C</w:t>
      </w:r>
      <w:r w:rsidR="00233FF7">
        <w:rPr>
          <w:rFonts w:ascii="Palatino Linotype" w:hAnsi="Palatino Linotype" w:cstheme="minorHAnsi"/>
        </w:rPr>
        <w:t xml:space="preserve">umhuriyet </w:t>
      </w:r>
      <w:r w:rsidRPr="00111E88">
        <w:rPr>
          <w:rFonts w:ascii="Palatino Linotype" w:hAnsi="Palatino Linotype" w:cstheme="minorHAnsi"/>
        </w:rPr>
        <w:t>B</w:t>
      </w:r>
      <w:r w:rsidR="00233FF7">
        <w:rPr>
          <w:rFonts w:ascii="Palatino Linotype" w:hAnsi="Palatino Linotype" w:cstheme="minorHAnsi"/>
        </w:rPr>
        <w:t>aşsavcılığına</w:t>
      </w:r>
      <w:r w:rsidR="000A08B0" w:rsidRPr="00111E88">
        <w:rPr>
          <w:rFonts w:ascii="Palatino Linotype" w:hAnsi="Palatino Linotype" w:cstheme="minorHAnsi"/>
        </w:rPr>
        <w:t xml:space="preserve"> teslim </w:t>
      </w:r>
      <w:r w:rsidR="00233FF7">
        <w:rPr>
          <w:rFonts w:ascii="Palatino Linotype" w:hAnsi="Palatino Linotype" w:cstheme="minorHAnsi"/>
        </w:rPr>
        <w:t>edildiği</w:t>
      </w:r>
      <w:r w:rsidRPr="00111E88">
        <w:rPr>
          <w:rFonts w:ascii="Palatino Linotype" w:hAnsi="Palatino Linotype" w:cstheme="minorHAnsi"/>
        </w:rPr>
        <w:t xml:space="preserve"> belirtilen dijital </w:t>
      </w:r>
      <w:r w:rsidR="00233FF7">
        <w:rPr>
          <w:rFonts w:ascii="Palatino Linotype" w:hAnsi="Palatino Linotype" w:cstheme="minorHAnsi"/>
        </w:rPr>
        <w:t xml:space="preserve">materyallerin </w:t>
      </w:r>
      <w:r w:rsidR="000A08B0" w:rsidRPr="00111E88">
        <w:rPr>
          <w:rFonts w:ascii="Palatino Linotype" w:hAnsi="Palatino Linotype" w:cstheme="minorHAnsi"/>
        </w:rPr>
        <w:t xml:space="preserve">(cep telefonu, micro </w:t>
      </w:r>
      <w:r w:rsidR="00233FF7">
        <w:rPr>
          <w:rFonts w:ascii="Palatino Linotype" w:hAnsi="Palatino Linotype" w:cstheme="minorHAnsi"/>
        </w:rPr>
        <w:t>SD</w:t>
      </w:r>
      <w:r w:rsidR="000A08B0" w:rsidRPr="00111E88">
        <w:rPr>
          <w:rFonts w:ascii="Palatino Linotype" w:hAnsi="Palatino Linotype" w:cstheme="minorHAnsi"/>
        </w:rPr>
        <w:t xml:space="preserve"> kart</w:t>
      </w:r>
      <w:r w:rsidR="00233FF7">
        <w:rPr>
          <w:rFonts w:ascii="Palatino Linotype" w:hAnsi="Palatino Linotype" w:cstheme="minorHAnsi"/>
        </w:rPr>
        <w:t>lar</w:t>
      </w:r>
      <w:r w:rsidRPr="00111E88">
        <w:rPr>
          <w:rFonts w:ascii="Palatino Linotype" w:hAnsi="Palatino Linotype" w:cstheme="minorHAnsi"/>
        </w:rPr>
        <w:t xml:space="preserve">) delil bütünlüğünün korunup korunmadığının, üzerinde </w:t>
      </w:r>
      <w:r w:rsidR="00233FF7">
        <w:rPr>
          <w:rFonts w:ascii="Palatino Linotype" w:hAnsi="Palatino Linotype" w:cstheme="minorHAnsi"/>
        </w:rPr>
        <w:t>şahsımla</w:t>
      </w:r>
      <w:r w:rsidRPr="00111E88">
        <w:rPr>
          <w:rFonts w:ascii="Palatino Linotype" w:hAnsi="Palatino Linotype" w:cstheme="minorHAnsi"/>
        </w:rPr>
        <w:t xml:space="preserve"> ilgili değişiklik/ekleme-çıkarma/tahrifat yapılıp yapılmadığının</w:t>
      </w:r>
      <w:r w:rsidR="00233FF7">
        <w:rPr>
          <w:rFonts w:ascii="Palatino Linotype" w:hAnsi="Palatino Linotype" w:cstheme="minorHAnsi"/>
        </w:rPr>
        <w:t xml:space="preserve"> ve</w:t>
      </w:r>
      <w:r w:rsidRPr="00111E88">
        <w:rPr>
          <w:rFonts w:ascii="Palatino Linotype" w:hAnsi="Palatino Linotype" w:cstheme="minorHAnsi"/>
        </w:rPr>
        <w:t xml:space="preserve"> hash değerinin değişip-değişmediğinin tarafımca araştırma/inceleme yaptırıl</w:t>
      </w:r>
      <w:r w:rsidR="00233FF7">
        <w:rPr>
          <w:rFonts w:ascii="Palatino Linotype" w:hAnsi="Palatino Linotype" w:cstheme="minorHAnsi"/>
        </w:rPr>
        <w:t>abilmesi</w:t>
      </w:r>
      <w:r w:rsidRPr="00111E88">
        <w:rPr>
          <w:rFonts w:ascii="Palatino Linotype" w:hAnsi="Palatino Linotype" w:cstheme="minorHAnsi"/>
        </w:rPr>
        <w:t xml:space="preserve"> amacıyla;</w:t>
      </w:r>
    </w:p>
    <w:p w14:paraId="23C7807F" w14:textId="7C19BD10" w:rsidR="00267F09" w:rsidRPr="00111E88" w:rsidRDefault="00267F09" w:rsidP="00233FF7">
      <w:pPr>
        <w:pStyle w:val="ListeParagraf"/>
        <w:numPr>
          <w:ilvl w:val="0"/>
          <w:numId w:val="1"/>
        </w:numPr>
        <w:ind w:left="0" w:firstLine="360"/>
        <w:jc w:val="both"/>
        <w:rPr>
          <w:rFonts w:ascii="Palatino Linotype" w:hAnsi="Palatino Linotype" w:cstheme="minorHAnsi"/>
          <w:b/>
        </w:rPr>
      </w:pPr>
      <w:r w:rsidRPr="00111E88">
        <w:rPr>
          <w:rFonts w:ascii="Palatino Linotype" w:hAnsi="Palatino Linotype" w:cstheme="minorHAnsi"/>
          <w:b/>
        </w:rPr>
        <w:t>Ankara 5.</w:t>
      </w:r>
      <w:r w:rsidR="00233FF7">
        <w:rPr>
          <w:rFonts w:ascii="Palatino Linotype" w:hAnsi="Palatino Linotype" w:cstheme="minorHAnsi"/>
          <w:b/>
        </w:rPr>
        <w:t xml:space="preserve"> </w:t>
      </w:r>
      <w:r w:rsidRPr="00111E88">
        <w:rPr>
          <w:rFonts w:ascii="Palatino Linotype" w:hAnsi="Palatino Linotype" w:cstheme="minorHAnsi"/>
          <w:b/>
        </w:rPr>
        <w:t>S</w:t>
      </w:r>
      <w:r w:rsidR="00233FF7">
        <w:rPr>
          <w:rFonts w:ascii="Palatino Linotype" w:hAnsi="Palatino Linotype" w:cstheme="minorHAnsi"/>
          <w:b/>
        </w:rPr>
        <w:t xml:space="preserve">ulh </w:t>
      </w:r>
      <w:r w:rsidRPr="00111E88">
        <w:rPr>
          <w:rFonts w:ascii="Palatino Linotype" w:hAnsi="Palatino Linotype" w:cstheme="minorHAnsi"/>
          <w:b/>
        </w:rPr>
        <w:t>C</w:t>
      </w:r>
      <w:r w:rsidR="00233FF7">
        <w:rPr>
          <w:rFonts w:ascii="Palatino Linotype" w:hAnsi="Palatino Linotype" w:cstheme="minorHAnsi"/>
          <w:b/>
        </w:rPr>
        <w:t xml:space="preserve">eza </w:t>
      </w:r>
      <w:r w:rsidRPr="00111E88">
        <w:rPr>
          <w:rFonts w:ascii="Palatino Linotype" w:hAnsi="Palatino Linotype" w:cstheme="minorHAnsi"/>
          <w:b/>
        </w:rPr>
        <w:t>H</w:t>
      </w:r>
      <w:r w:rsidR="00233FF7">
        <w:rPr>
          <w:rFonts w:ascii="Palatino Linotype" w:hAnsi="Palatino Linotype" w:cstheme="minorHAnsi"/>
          <w:b/>
        </w:rPr>
        <w:t>akimliği</w:t>
      </w:r>
      <w:r w:rsidRPr="00111E88">
        <w:rPr>
          <w:rFonts w:ascii="Palatino Linotype" w:hAnsi="Palatino Linotype" w:cstheme="minorHAnsi"/>
          <w:b/>
        </w:rPr>
        <w:t xml:space="preserve">’nin 2017/2920 Değişik iş kararıyla el konulmasına karar verdiği, siyah renkli üzerinde Samsung 32gb Micro SD HC I </w:t>
      </w:r>
      <w:proofErr w:type="spellStart"/>
      <w:r w:rsidRPr="00111E88">
        <w:rPr>
          <w:rFonts w:ascii="Palatino Linotype" w:hAnsi="Palatino Linotype" w:cstheme="minorHAnsi"/>
          <w:b/>
        </w:rPr>
        <w:t>sd</w:t>
      </w:r>
      <w:proofErr w:type="spellEnd"/>
      <w:r w:rsidRPr="00111E88">
        <w:rPr>
          <w:rFonts w:ascii="Palatino Linotype" w:hAnsi="Palatino Linotype" w:cstheme="minorHAnsi"/>
          <w:b/>
        </w:rPr>
        <w:t xml:space="preserve"> kartın imajının/kopyasının</w:t>
      </w:r>
      <w:r w:rsidR="00233FF7">
        <w:rPr>
          <w:rFonts w:ascii="Palatino Linotype" w:hAnsi="Palatino Linotype" w:cstheme="minorHAnsi"/>
          <w:b/>
        </w:rPr>
        <w:t xml:space="preserve"> tarafıma</w:t>
      </w:r>
      <w:r w:rsidRPr="00111E88">
        <w:rPr>
          <w:rFonts w:ascii="Palatino Linotype" w:hAnsi="Palatino Linotype" w:cstheme="minorHAnsi"/>
          <w:b/>
        </w:rPr>
        <w:t xml:space="preserve"> verilmesini,</w:t>
      </w:r>
    </w:p>
    <w:p w14:paraId="37994787" w14:textId="4C028717" w:rsidR="00267F09" w:rsidRPr="00111E88" w:rsidRDefault="00267F09" w:rsidP="00111E88">
      <w:pPr>
        <w:pStyle w:val="ListeParagraf"/>
        <w:numPr>
          <w:ilvl w:val="0"/>
          <w:numId w:val="1"/>
        </w:numPr>
        <w:ind w:left="0" w:firstLine="567"/>
        <w:jc w:val="both"/>
        <w:rPr>
          <w:rFonts w:ascii="Palatino Linotype" w:hAnsi="Palatino Linotype" w:cstheme="minorHAnsi"/>
          <w:b/>
        </w:rPr>
      </w:pPr>
      <w:r w:rsidRPr="00111E88">
        <w:rPr>
          <w:rFonts w:ascii="Palatino Linotype" w:hAnsi="Palatino Linotype" w:cstheme="minorHAnsi"/>
          <w:b/>
        </w:rPr>
        <w:lastRenderedPageBreak/>
        <w:t xml:space="preserve"> Beyaz açık kahve renkli Lexar 1000x 64Gb micro sd xc II </w:t>
      </w:r>
      <w:proofErr w:type="spellStart"/>
      <w:r w:rsidRPr="00111E88">
        <w:rPr>
          <w:rFonts w:ascii="Palatino Linotype" w:hAnsi="Palatino Linotype" w:cstheme="minorHAnsi"/>
          <w:b/>
        </w:rPr>
        <w:t>sd</w:t>
      </w:r>
      <w:proofErr w:type="spellEnd"/>
      <w:r w:rsidRPr="00111E88">
        <w:rPr>
          <w:rFonts w:ascii="Palatino Linotype" w:hAnsi="Palatino Linotype" w:cstheme="minorHAnsi"/>
          <w:b/>
        </w:rPr>
        <w:t xml:space="preserve"> kartın imajının/kopyasının </w:t>
      </w:r>
      <w:r w:rsidR="00233FF7">
        <w:rPr>
          <w:rFonts w:ascii="Palatino Linotype" w:hAnsi="Palatino Linotype" w:cstheme="minorHAnsi"/>
          <w:b/>
        </w:rPr>
        <w:t>tarafıma</w:t>
      </w:r>
      <w:r w:rsidR="00233FF7" w:rsidRPr="00111E88">
        <w:rPr>
          <w:rFonts w:ascii="Palatino Linotype" w:hAnsi="Palatino Linotype" w:cstheme="minorHAnsi"/>
          <w:b/>
        </w:rPr>
        <w:t xml:space="preserve"> </w:t>
      </w:r>
      <w:r w:rsidRPr="00111E88">
        <w:rPr>
          <w:rFonts w:ascii="Palatino Linotype" w:hAnsi="Palatino Linotype" w:cstheme="minorHAnsi"/>
          <w:b/>
        </w:rPr>
        <w:t>verilmesini,</w:t>
      </w:r>
    </w:p>
    <w:p w14:paraId="0E59D326" w14:textId="23644301" w:rsidR="00267F09" w:rsidRPr="00111E88" w:rsidRDefault="00267F09" w:rsidP="00111E88">
      <w:pPr>
        <w:pStyle w:val="ListeParagraf"/>
        <w:numPr>
          <w:ilvl w:val="0"/>
          <w:numId w:val="1"/>
        </w:numPr>
        <w:ind w:left="0" w:firstLine="567"/>
        <w:jc w:val="both"/>
        <w:rPr>
          <w:rFonts w:ascii="Palatino Linotype" w:hAnsi="Palatino Linotype" w:cstheme="minorHAnsi"/>
          <w:b/>
        </w:rPr>
      </w:pPr>
      <w:r w:rsidRPr="00111E88">
        <w:rPr>
          <w:rFonts w:ascii="Palatino Linotype" w:hAnsi="Palatino Linotype" w:cstheme="minorHAnsi"/>
          <w:b/>
        </w:rPr>
        <w:t xml:space="preserve">Samsung marka Sm-A510F model beyaz renkli gövde arka kapağında </w:t>
      </w:r>
      <w:r w:rsidRPr="00111E88">
        <w:rPr>
          <w:rFonts w:ascii="Palatino Linotype" w:hAnsi="Palatino Linotype" w:cs="Calibri"/>
          <w:b/>
        </w:rPr>
        <w:t xml:space="preserve">357765/07/561383/3 imei S/N:R58H61ZYLEF numaraları yazılı cep telefonunun imajının/kopyasının </w:t>
      </w:r>
      <w:r w:rsidR="00233FF7">
        <w:rPr>
          <w:rFonts w:ascii="Palatino Linotype" w:hAnsi="Palatino Linotype" w:cstheme="minorHAnsi"/>
          <w:b/>
        </w:rPr>
        <w:t>tarafıma</w:t>
      </w:r>
      <w:r w:rsidR="00233FF7" w:rsidRPr="00111E88">
        <w:rPr>
          <w:rFonts w:ascii="Palatino Linotype" w:hAnsi="Palatino Linotype" w:cs="Calibri"/>
          <w:b/>
        </w:rPr>
        <w:t xml:space="preserve"> </w:t>
      </w:r>
      <w:r w:rsidRPr="00111E88">
        <w:rPr>
          <w:rFonts w:ascii="Palatino Linotype" w:hAnsi="Palatino Linotype" w:cs="Calibri"/>
          <w:b/>
        </w:rPr>
        <w:t>verilmesini,</w:t>
      </w:r>
    </w:p>
    <w:p w14:paraId="270608C3" w14:textId="175AE57B" w:rsidR="00267F09" w:rsidRPr="00111E88" w:rsidRDefault="00267F09" w:rsidP="00111E88">
      <w:pPr>
        <w:pStyle w:val="ListeParagraf"/>
        <w:numPr>
          <w:ilvl w:val="0"/>
          <w:numId w:val="1"/>
        </w:numPr>
        <w:ind w:left="0" w:firstLine="567"/>
        <w:jc w:val="both"/>
        <w:rPr>
          <w:rFonts w:ascii="Palatino Linotype" w:hAnsi="Palatino Linotype" w:cstheme="minorHAnsi"/>
          <w:b/>
        </w:rPr>
      </w:pPr>
      <w:r w:rsidRPr="00111E88">
        <w:rPr>
          <w:rFonts w:ascii="Palatino Linotype" w:hAnsi="Palatino Linotype" w:cstheme="minorHAnsi"/>
          <w:b/>
        </w:rPr>
        <w:t xml:space="preserve">Dijital materyaller üzerinde </w:t>
      </w:r>
      <w:r w:rsidR="00233FF7">
        <w:rPr>
          <w:rFonts w:ascii="Palatino Linotype" w:hAnsi="Palatino Linotype" w:cstheme="minorHAnsi"/>
          <w:b/>
        </w:rPr>
        <w:t>SD</w:t>
      </w:r>
      <w:r w:rsidRPr="00111E88">
        <w:rPr>
          <w:rFonts w:ascii="Palatino Linotype" w:hAnsi="Palatino Linotype" w:cstheme="minorHAnsi"/>
          <w:b/>
        </w:rPr>
        <w:t xml:space="preserve"> kart ve cep telefonu incelemesinde uzman olan bilirkişiye incelettirilerek rapor alınmasını,</w:t>
      </w:r>
    </w:p>
    <w:p w14:paraId="2D8ADDE8" w14:textId="45636268" w:rsidR="00267F09" w:rsidRPr="00111E88" w:rsidRDefault="00267F09" w:rsidP="00111E88">
      <w:pPr>
        <w:pStyle w:val="ListeParagraf"/>
        <w:numPr>
          <w:ilvl w:val="0"/>
          <w:numId w:val="1"/>
        </w:numPr>
        <w:ind w:left="0" w:firstLine="567"/>
        <w:jc w:val="both"/>
        <w:rPr>
          <w:rFonts w:ascii="Palatino Linotype" w:hAnsi="Palatino Linotype" w:cstheme="minorHAnsi"/>
          <w:b/>
        </w:rPr>
      </w:pPr>
      <w:r w:rsidRPr="00111E88">
        <w:rPr>
          <w:rFonts w:ascii="Palatino Linotype" w:hAnsi="Palatino Linotype" w:cstheme="minorHAnsi"/>
          <w:b/>
        </w:rPr>
        <w:t>18.04.2017 tarihli</w:t>
      </w:r>
      <w:r w:rsidR="00A640FD" w:rsidRPr="00111E88">
        <w:rPr>
          <w:rFonts w:ascii="Palatino Linotype" w:hAnsi="Palatino Linotype" w:cstheme="minorHAnsi"/>
          <w:b/>
        </w:rPr>
        <w:t xml:space="preserve"> ve 2017/68532 soruşturma nolu dosya kapsamında </w:t>
      </w:r>
      <w:r w:rsidRPr="00111E88">
        <w:rPr>
          <w:rFonts w:ascii="Palatino Linotype" w:hAnsi="Palatino Linotype" w:cstheme="minorHAnsi"/>
          <w:b/>
        </w:rPr>
        <w:t>Ankara C</w:t>
      </w:r>
      <w:r w:rsidR="00233FF7">
        <w:rPr>
          <w:rFonts w:ascii="Palatino Linotype" w:hAnsi="Palatino Linotype" w:cstheme="minorHAnsi"/>
          <w:b/>
        </w:rPr>
        <w:t xml:space="preserve">umhuriyet </w:t>
      </w:r>
      <w:r w:rsidRPr="00111E88">
        <w:rPr>
          <w:rFonts w:ascii="Palatino Linotype" w:hAnsi="Palatino Linotype" w:cstheme="minorHAnsi"/>
          <w:b/>
        </w:rPr>
        <w:t>B</w:t>
      </w:r>
      <w:r w:rsidR="00233FF7">
        <w:rPr>
          <w:rFonts w:ascii="Palatino Linotype" w:hAnsi="Palatino Linotype" w:cstheme="minorHAnsi"/>
          <w:b/>
        </w:rPr>
        <w:t xml:space="preserve">aşsavcılığı </w:t>
      </w:r>
      <w:r w:rsidRPr="00111E88">
        <w:rPr>
          <w:rFonts w:ascii="Palatino Linotype" w:hAnsi="Palatino Linotype" w:cstheme="minorHAnsi"/>
          <w:b/>
        </w:rPr>
        <w:t>Anayas</w:t>
      </w:r>
      <w:r w:rsidR="00A640FD" w:rsidRPr="00111E88">
        <w:rPr>
          <w:rFonts w:ascii="Palatino Linotype" w:hAnsi="Palatino Linotype" w:cstheme="minorHAnsi"/>
          <w:b/>
        </w:rPr>
        <w:t>al Düzene K</w:t>
      </w:r>
      <w:r w:rsidRPr="00111E88">
        <w:rPr>
          <w:rFonts w:ascii="Palatino Linotype" w:hAnsi="Palatino Linotype" w:cstheme="minorHAnsi"/>
          <w:b/>
        </w:rPr>
        <w:t xml:space="preserve">arşı İşlenen </w:t>
      </w:r>
      <w:r w:rsidR="00A640FD" w:rsidRPr="00111E88">
        <w:rPr>
          <w:rFonts w:ascii="Palatino Linotype" w:hAnsi="Palatino Linotype" w:cstheme="minorHAnsi"/>
          <w:b/>
        </w:rPr>
        <w:t>Suçlar B</w:t>
      </w:r>
      <w:r w:rsidRPr="00111E88">
        <w:rPr>
          <w:rFonts w:ascii="Palatino Linotype" w:hAnsi="Palatino Linotype" w:cstheme="minorHAnsi"/>
          <w:b/>
        </w:rPr>
        <w:t>ürosu savcısı</w:t>
      </w:r>
      <w:r w:rsidR="00233FF7">
        <w:rPr>
          <w:rFonts w:ascii="Palatino Linotype" w:hAnsi="Palatino Linotype" w:cstheme="minorHAnsi"/>
          <w:b/>
        </w:rPr>
        <w:t xml:space="preserve"> </w:t>
      </w:r>
      <w:r w:rsidR="00A640FD" w:rsidRPr="00111E88">
        <w:rPr>
          <w:rFonts w:ascii="Palatino Linotype" w:hAnsi="Palatino Linotype" w:cstheme="minorHAnsi"/>
          <w:b/>
        </w:rPr>
        <w:t>(S.Ö)</w:t>
      </w:r>
      <w:r w:rsidRPr="00111E88">
        <w:rPr>
          <w:rFonts w:ascii="Palatino Linotype" w:hAnsi="Palatino Linotype" w:cstheme="minorHAnsi"/>
          <w:b/>
        </w:rPr>
        <w:t xml:space="preserve"> tarafın bizzat tutulan tutanağın bir örneğinin verilmesini,</w:t>
      </w:r>
    </w:p>
    <w:p w14:paraId="436FE88B" w14:textId="75DB0796" w:rsidR="00267F09" w:rsidRPr="00111E88" w:rsidRDefault="00A640FD"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 xml:space="preserve">Garson kod adlı gizli tanık kendi rızasıyla Ankara </w:t>
      </w:r>
      <w:r w:rsidR="00233FF7" w:rsidRPr="00111E88">
        <w:rPr>
          <w:rFonts w:ascii="Palatino Linotype" w:hAnsi="Palatino Linotype" w:cstheme="minorHAnsi"/>
          <w:b/>
        </w:rPr>
        <w:t>C</w:t>
      </w:r>
      <w:r w:rsidR="00233FF7">
        <w:rPr>
          <w:rFonts w:ascii="Palatino Linotype" w:hAnsi="Palatino Linotype" w:cstheme="minorHAnsi"/>
          <w:b/>
        </w:rPr>
        <w:t xml:space="preserve">umhuriyet </w:t>
      </w:r>
      <w:r w:rsidR="00233FF7" w:rsidRPr="00111E88">
        <w:rPr>
          <w:rFonts w:ascii="Palatino Linotype" w:hAnsi="Palatino Linotype" w:cstheme="minorHAnsi"/>
          <w:b/>
        </w:rPr>
        <w:t>B</w:t>
      </w:r>
      <w:r w:rsidR="00233FF7">
        <w:rPr>
          <w:rFonts w:ascii="Palatino Linotype" w:hAnsi="Palatino Linotype" w:cstheme="minorHAnsi"/>
          <w:b/>
        </w:rPr>
        <w:t>aşsavcılığı</w:t>
      </w:r>
      <w:r w:rsidR="00233FF7">
        <w:rPr>
          <w:rFonts w:ascii="Palatino Linotype" w:hAnsi="Palatino Linotype" w:cstheme="minorHAnsi"/>
          <w:b/>
        </w:rPr>
        <w:t>na</w:t>
      </w:r>
      <w:r w:rsidRPr="00111E88">
        <w:rPr>
          <w:rFonts w:ascii="Palatino Linotype" w:hAnsi="Palatino Linotype" w:cs="Calibri"/>
          <w:b/>
        </w:rPr>
        <w:t xml:space="preserve"> geldiğine göre</w:t>
      </w:r>
      <w:r w:rsidRPr="00111E88">
        <w:rPr>
          <w:rFonts w:ascii="Palatino Linotype" w:hAnsi="Palatino Linotype" w:cs="Calibri"/>
          <w:b/>
          <w:color w:val="000000" w:themeColor="text1"/>
        </w:rPr>
        <w:t xml:space="preserve"> tutanağı düzenleyen Cumhuriyet Savcısına nasıl ulaştığı, saat kaçta geldiğinin tespiti açısından</w:t>
      </w:r>
      <w:r w:rsidRPr="00111E88">
        <w:rPr>
          <w:rFonts w:ascii="Palatino Linotype" w:hAnsi="Palatino Linotype" w:cs="Calibri"/>
          <w:b/>
        </w:rPr>
        <w:t xml:space="preserve">, 18.04.2017 tarihine ait Ankara Sıhhıye Adliyesi Anayasal Suçlar Bürosunun bulunduğu katın güvenlik kamera görüntülerinin tarafıma ve mahkemeye </w:t>
      </w:r>
      <w:r w:rsidR="00233FF7">
        <w:rPr>
          <w:rFonts w:ascii="Palatino Linotype" w:hAnsi="Palatino Linotype" w:cs="Calibri"/>
          <w:b/>
        </w:rPr>
        <w:t>verilmesini</w:t>
      </w:r>
      <w:r w:rsidRPr="00111E88">
        <w:rPr>
          <w:rFonts w:ascii="Palatino Linotype" w:hAnsi="Palatino Linotype" w:cs="Calibri"/>
          <w:b/>
        </w:rPr>
        <w:t>,</w:t>
      </w:r>
    </w:p>
    <w:p w14:paraId="3A44069C" w14:textId="77777777" w:rsidR="00233FF7" w:rsidRPr="00111E88" w:rsidRDefault="00A640FD" w:rsidP="00233FF7">
      <w:pPr>
        <w:pStyle w:val="ListeParagraf"/>
        <w:numPr>
          <w:ilvl w:val="0"/>
          <w:numId w:val="1"/>
        </w:numPr>
        <w:ind w:left="0" w:firstLine="567"/>
        <w:jc w:val="both"/>
        <w:rPr>
          <w:rFonts w:ascii="Palatino Linotype" w:hAnsi="Palatino Linotype" w:cs="Calibri"/>
          <w:b/>
        </w:rPr>
      </w:pPr>
      <w:r w:rsidRPr="00233FF7">
        <w:rPr>
          <w:rFonts w:ascii="Palatino Linotype" w:hAnsi="Palatino Linotype" w:cs="Calibri"/>
          <w:b/>
        </w:rPr>
        <w:t xml:space="preserve">Garson kod adlı gizli tanığın teslim ettiği dijital materyaller üzerinde parmak izi alındı ise bunu gösterir formun/belgenin bir örneğinin </w:t>
      </w:r>
      <w:r w:rsidR="00233FF7" w:rsidRPr="00111E88">
        <w:rPr>
          <w:rFonts w:ascii="Palatino Linotype" w:hAnsi="Palatino Linotype" w:cs="Calibri"/>
          <w:b/>
        </w:rPr>
        <w:t xml:space="preserve">tarafıma ve mahkemeye </w:t>
      </w:r>
      <w:r w:rsidR="00233FF7">
        <w:rPr>
          <w:rFonts w:ascii="Palatino Linotype" w:hAnsi="Palatino Linotype" w:cs="Calibri"/>
          <w:b/>
        </w:rPr>
        <w:t>verilmesini</w:t>
      </w:r>
      <w:r w:rsidR="00233FF7" w:rsidRPr="00111E88">
        <w:rPr>
          <w:rFonts w:ascii="Palatino Linotype" w:hAnsi="Palatino Linotype" w:cs="Calibri"/>
          <w:b/>
        </w:rPr>
        <w:t>,</w:t>
      </w:r>
    </w:p>
    <w:p w14:paraId="20ADC323" w14:textId="5EBE5780" w:rsidR="00A640FD" w:rsidRPr="00233FF7" w:rsidRDefault="00A640FD" w:rsidP="00111E88">
      <w:pPr>
        <w:pStyle w:val="ListeParagraf"/>
        <w:numPr>
          <w:ilvl w:val="0"/>
          <w:numId w:val="1"/>
        </w:numPr>
        <w:ind w:left="0" w:firstLine="567"/>
        <w:jc w:val="both"/>
        <w:rPr>
          <w:rFonts w:ascii="Palatino Linotype" w:hAnsi="Palatino Linotype" w:cs="Calibri"/>
          <w:b/>
        </w:rPr>
      </w:pPr>
      <w:r w:rsidRPr="00233FF7">
        <w:rPr>
          <w:rFonts w:ascii="Palatino Linotype" w:hAnsi="Palatino Linotype" w:cs="Calibri"/>
          <w:b/>
        </w:rPr>
        <w:t>Garson kod adlı gizli tanığın 18.04.207 tarih ve 27.04.2017 tarihli ifade tutanaklarının bir örneğinin tarafıma verilmesini,</w:t>
      </w:r>
    </w:p>
    <w:p w14:paraId="4523EB0F" w14:textId="472FB89E" w:rsidR="00A640FD" w:rsidRPr="00111E88" w:rsidRDefault="00B6084A"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w:t>
      </w:r>
      <w:r w:rsidR="008C0247" w:rsidRPr="00111E88">
        <w:rPr>
          <w:rFonts w:ascii="Palatino Linotype" w:hAnsi="Palatino Linotype" w:cs="Calibri"/>
          <w:b/>
        </w:rPr>
        <w:t>al materyale el</w:t>
      </w:r>
      <w:r w:rsidRPr="00111E88">
        <w:rPr>
          <w:rFonts w:ascii="Palatino Linotype" w:hAnsi="Palatino Linotype" w:cs="Calibri"/>
          <w:b/>
        </w:rPr>
        <w:t xml:space="preserve"> koyma</w:t>
      </w:r>
      <w:r w:rsidR="008C0247" w:rsidRPr="00111E88">
        <w:rPr>
          <w:rFonts w:ascii="Palatino Linotype" w:hAnsi="Palatino Linotype" w:cs="Calibri"/>
          <w:b/>
        </w:rPr>
        <w:t xml:space="preserve"> kararına istinaden el koyma tutanağının bir örneğinin verilmesini,</w:t>
      </w:r>
    </w:p>
    <w:p w14:paraId="0DFD7405" w14:textId="77777777" w:rsidR="008C0247" w:rsidRPr="00111E88" w:rsidRDefault="008C0247"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Dijital delil torbasına konulup mühürlendi ise, mühür açma tutanağının bir örneğinin verilmesini,</w:t>
      </w:r>
    </w:p>
    <w:p w14:paraId="4F58A7ED" w14:textId="24A1919C" w:rsidR="008C0247" w:rsidRPr="00111E88" w:rsidRDefault="008C0247"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Dijital materyalin güvenirliğinin, geçerliliğinin ve bütünlüğünün sağlanması açısından</w:t>
      </w:r>
      <w:r w:rsidR="00F473E7" w:rsidRPr="00111E88">
        <w:rPr>
          <w:rFonts w:ascii="Palatino Linotype" w:hAnsi="Palatino Linotype" w:cs="Calibri"/>
          <w:b/>
        </w:rPr>
        <w:t>, delillerin etiketlenmesi yapıldı ise etiketlerin,</w:t>
      </w:r>
      <w:r w:rsidRPr="00111E88">
        <w:rPr>
          <w:rFonts w:ascii="Palatino Linotype" w:hAnsi="Palatino Linotype" w:cs="Calibri"/>
          <w:b/>
        </w:rPr>
        <w:t xml:space="preserve"> fotoğraflama yapıldı ise fotoğrafların, kamera kaydına alındı ise kamera kaydının, delil torbasına konulup </w:t>
      </w:r>
      <w:r w:rsidR="00F473E7" w:rsidRPr="00111E88">
        <w:rPr>
          <w:rFonts w:ascii="Palatino Linotype" w:hAnsi="Palatino Linotype" w:cs="Calibri"/>
          <w:b/>
        </w:rPr>
        <w:t>mühürlendi ise delil formunun birer örneğinin şahsıma</w:t>
      </w:r>
      <w:r w:rsidR="00233FF7">
        <w:rPr>
          <w:rFonts w:ascii="Palatino Linotype" w:hAnsi="Palatino Linotype" w:cs="Calibri"/>
          <w:b/>
        </w:rPr>
        <w:t xml:space="preserve"> verili</w:t>
      </w:r>
      <w:r w:rsidR="00F473E7" w:rsidRPr="00111E88">
        <w:rPr>
          <w:rFonts w:ascii="Palatino Linotype" w:hAnsi="Palatino Linotype" w:cs="Calibri"/>
          <w:b/>
        </w:rPr>
        <w:t xml:space="preserve"> ve mahkemeye sunulmasın</w:t>
      </w:r>
      <w:r w:rsidR="00233FF7">
        <w:rPr>
          <w:rFonts w:ascii="Palatino Linotype" w:hAnsi="Palatino Linotype" w:cs="Calibri"/>
          <w:b/>
        </w:rPr>
        <w:t>ı</w:t>
      </w:r>
      <w:r w:rsidR="00F473E7" w:rsidRPr="00111E88">
        <w:rPr>
          <w:rFonts w:ascii="Palatino Linotype" w:hAnsi="Palatino Linotype" w:cs="Calibri"/>
          <w:b/>
        </w:rPr>
        <w:t>,</w:t>
      </w:r>
    </w:p>
    <w:p w14:paraId="172F0D36" w14:textId="77777777" w:rsidR="00F473E7" w:rsidRPr="00111E88" w:rsidRDefault="00F473E7"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Dijital delilin imajı alındığından imaj alma tutanağının, imaj alma sırasında alınması gereken fotoğraf kaydı alındı ise fotoğrafların, kamera kaydı alınması gerekirken ve kayda alındı ise bu kaydın birer örneğinin verilmesini,</w:t>
      </w:r>
    </w:p>
    <w:p w14:paraId="031A897E" w14:textId="77777777" w:rsidR="007F12A6" w:rsidRPr="00111E88" w:rsidRDefault="007F12A6"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Orijinal dijital delilin 18.04.2017 tarihi itibariyle hash değeri, imajın hash değeri, imaj alındıktan sonra alınması gereken orijinal verinin hash değeri, fiziki müdahaleden sonraki hash değeri nedir, hesaplanan hash değerlerinin mahkemeye ve tarafıma verilmesini,</w:t>
      </w:r>
    </w:p>
    <w:p w14:paraId="2C195515" w14:textId="77777777" w:rsidR="00F473E7" w:rsidRPr="00111E88" w:rsidRDefault="00F473E7"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C.S adli kolluğa el koyma, imaj alma vs gibi talimatları yazılı verdi ise bu talimatı içeren yazının, eğer talimat sözlü olarak geçirildi ise adli kolluğun tuttuğu cumhuriyet savcısı ile görüşme tutanağının bir örneği mahkemeye ve tarafıma verilmesini,</w:t>
      </w:r>
    </w:p>
    <w:p w14:paraId="62E1C3D9" w14:textId="77777777" w:rsidR="007F12A6" w:rsidRPr="00111E88" w:rsidRDefault="007F12A6"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Dijital materyale ait zaman damgası, sayısal imza, meta data verilerinin birer örneği mahkemeye ve tarafıma verilmesini,</w:t>
      </w:r>
    </w:p>
    <w:p w14:paraId="0A2335AD" w14:textId="77777777" w:rsidR="007F12A6" w:rsidRPr="00111E88" w:rsidRDefault="007F12A6"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Dijital materyalin listesi tutuldu ise bu listenin bir örneğinin mahkemeye verilmesini,</w:t>
      </w:r>
    </w:p>
    <w:p w14:paraId="03CED929" w14:textId="789AD109" w:rsidR="00F473E7" w:rsidRPr="00111E88" w:rsidRDefault="00F473E7"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lastRenderedPageBreak/>
        <w:t>E</w:t>
      </w:r>
      <w:r w:rsidR="00233FF7">
        <w:rPr>
          <w:rFonts w:ascii="Palatino Linotype" w:hAnsi="Palatino Linotype" w:cs="Calibri"/>
          <w:b/>
        </w:rPr>
        <w:t xml:space="preserve">mniyet </w:t>
      </w:r>
      <w:r w:rsidRPr="00111E88">
        <w:rPr>
          <w:rFonts w:ascii="Palatino Linotype" w:hAnsi="Palatino Linotype" w:cs="Calibri"/>
          <w:b/>
        </w:rPr>
        <w:t>G</w:t>
      </w:r>
      <w:r w:rsidR="00233FF7">
        <w:rPr>
          <w:rFonts w:ascii="Palatino Linotype" w:hAnsi="Palatino Linotype" w:cs="Calibri"/>
          <w:b/>
        </w:rPr>
        <w:t xml:space="preserve">enel </w:t>
      </w:r>
      <w:r w:rsidRPr="00111E88">
        <w:rPr>
          <w:rFonts w:ascii="Palatino Linotype" w:hAnsi="Palatino Linotype" w:cs="Calibri"/>
          <w:b/>
        </w:rPr>
        <w:t>M</w:t>
      </w:r>
      <w:r w:rsidR="00233FF7">
        <w:rPr>
          <w:rFonts w:ascii="Palatino Linotype" w:hAnsi="Palatino Linotype" w:cs="Calibri"/>
          <w:b/>
        </w:rPr>
        <w:t>üdürlüğü</w:t>
      </w:r>
      <w:r w:rsidRPr="00111E88">
        <w:rPr>
          <w:rFonts w:ascii="Palatino Linotype" w:hAnsi="Palatino Linotype" w:cs="Calibri"/>
          <w:b/>
        </w:rPr>
        <w:t xml:space="preserve"> Siber </w:t>
      </w:r>
      <w:r w:rsidR="00233FF7">
        <w:rPr>
          <w:rFonts w:ascii="Palatino Linotype" w:hAnsi="Palatino Linotype" w:cs="Calibri"/>
          <w:b/>
        </w:rPr>
        <w:t>S</w:t>
      </w:r>
      <w:r w:rsidRPr="00111E88">
        <w:rPr>
          <w:rFonts w:ascii="Palatino Linotype" w:hAnsi="Palatino Linotype" w:cs="Calibri"/>
          <w:b/>
        </w:rPr>
        <w:t xml:space="preserve">uçlarla </w:t>
      </w:r>
      <w:r w:rsidR="00233FF7">
        <w:rPr>
          <w:rFonts w:ascii="Palatino Linotype" w:hAnsi="Palatino Linotype" w:cs="Calibri"/>
          <w:b/>
        </w:rPr>
        <w:t>M</w:t>
      </w:r>
      <w:r w:rsidRPr="00111E88">
        <w:rPr>
          <w:rFonts w:ascii="Palatino Linotype" w:hAnsi="Palatino Linotype" w:cs="Calibri"/>
          <w:b/>
        </w:rPr>
        <w:t xml:space="preserve">ücadele </w:t>
      </w:r>
      <w:r w:rsidR="00233FF7">
        <w:rPr>
          <w:rFonts w:ascii="Palatino Linotype" w:hAnsi="Palatino Linotype" w:cs="Calibri"/>
          <w:b/>
        </w:rPr>
        <w:t>D</w:t>
      </w:r>
      <w:r w:rsidRPr="00111E88">
        <w:rPr>
          <w:rFonts w:ascii="Palatino Linotype" w:hAnsi="Palatino Linotype" w:cs="Calibri"/>
          <w:b/>
        </w:rPr>
        <w:t xml:space="preserve">airesi personeli adli kolluk olarak görevlendirildi ise bu görevlendirme yazının bir örneğinin mahkemeye </w:t>
      </w:r>
      <w:r w:rsidR="00233FF7">
        <w:rPr>
          <w:rFonts w:ascii="Palatino Linotype" w:hAnsi="Palatino Linotype" w:cs="Calibri"/>
          <w:b/>
        </w:rPr>
        <w:t>sunulmasını</w:t>
      </w:r>
      <w:r w:rsidRPr="00111E88">
        <w:rPr>
          <w:rFonts w:ascii="Palatino Linotype" w:hAnsi="Palatino Linotype" w:cs="Calibri"/>
          <w:b/>
        </w:rPr>
        <w:t>,</w:t>
      </w:r>
    </w:p>
    <w:p w14:paraId="316DACEC" w14:textId="70C70510" w:rsidR="00F473E7" w:rsidRPr="00111E88" w:rsidRDefault="007F12A6"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Delil takip formunun bir örneğinin mahkemeye</w:t>
      </w:r>
      <w:r w:rsidR="00233FF7">
        <w:rPr>
          <w:rFonts w:ascii="Palatino Linotype" w:hAnsi="Palatino Linotype" w:cs="Calibri"/>
          <w:b/>
        </w:rPr>
        <w:t xml:space="preserve"> sunulmasını ve</w:t>
      </w:r>
      <w:r w:rsidRPr="00111E88">
        <w:rPr>
          <w:rFonts w:ascii="Palatino Linotype" w:hAnsi="Palatino Linotype" w:cs="Calibri"/>
          <w:b/>
        </w:rPr>
        <w:t xml:space="preserve"> tarafıma verilmesini,</w:t>
      </w:r>
    </w:p>
    <w:p w14:paraId="578FA7F5" w14:textId="77777777" w:rsidR="007F12A6" w:rsidRPr="00111E88" w:rsidRDefault="007F12A6"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 xml:space="preserve">Dijital materyale ilk müdahale eden, el koyan, imajı alan, </w:t>
      </w:r>
      <w:r w:rsidRPr="00233FF7">
        <w:rPr>
          <w:rFonts w:ascii="Palatino Linotype" w:hAnsi="Palatino Linotype" w:cs="Calibri"/>
          <w:b/>
          <w:u w:val="single"/>
        </w:rPr>
        <w:t xml:space="preserve">fiziki müdahalede </w:t>
      </w:r>
      <w:r w:rsidRPr="00111E88">
        <w:rPr>
          <w:rFonts w:ascii="Palatino Linotype" w:hAnsi="Palatino Linotype" w:cs="Calibri"/>
          <w:b/>
        </w:rPr>
        <w:t>bulunan görevlilerin tespit edilerek mahkeme de tanık olarak dinlenmesi ve şahsım/müdafim tarafından sorgulamasının yapılmasını,</w:t>
      </w:r>
    </w:p>
    <w:p w14:paraId="3D2B541F" w14:textId="77777777" w:rsidR="007F12A6" w:rsidRPr="00111E88" w:rsidRDefault="007F12A6"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İmaj alan/inceleme yapan personelin teknik bilgi ve yeterliliğine ilişkin sertifika/meslek içi eğitim bilgilerini gösterir belgenin bir örneğinin mahkemeye sunulmasını,</w:t>
      </w:r>
    </w:p>
    <w:p w14:paraId="4246F53D" w14:textId="5FD8FDC0" w:rsidR="00630147" w:rsidRPr="00111E88" w:rsidRDefault="00630147"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 xml:space="preserve">Dijital materyale ilişkin veri inceleme raporu hazırlayan </w:t>
      </w:r>
      <w:r w:rsidR="00233FF7" w:rsidRPr="00111E88">
        <w:rPr>
          <w:rFonts w:ascii="Palatino Linotype" w:hAnsi="Palatino Linotype" w:cs="Calibri"/>
          <w:b/>
        </w:rPr>
        <w:t>E</w:t>
      </w:r>
      <w:r w:rsidR="00233FF7">
        <w:rPr>
          <w:rFonts w:ascii="Palatino Linotype" w:hAnsi="Palatino Linotype" w:cs="Calibri"/>
          <w:b/>
        </w:rPr>
        <w:t xml:space="preserve">mniyet </w:t>
      </w:r>
      <w:r w:rsidR="00233FF7" w:rsidRPr="00111E88">
        <w:rPr>
          <w:rFonts w:ascii="Palatino Linotype" w:hAnsi="Palatino Linotype" w:cs="Calibri"/>
          <w:b/>
        </w:rPr>
        <w:t>G</w:t>
      </w:r>
      <w:r w:rsidR="00233FF7">
        <w:rPr>
          <w:rFonts w:ascii="Palatino Linotype" w:hAnsi="Palatino Linotype" w:cs="Calibri"/>
          <w:b/>
        </w:rPr>
        <w:t xml:space="preserve">enel </w:t>
      </w:r>
      <w:r w:rsidR="00233FF7" w:rsidRPr="00111E88">
        <w:rPr>
          <w:rFonts w:ascii="Palatino Linotype" w:hAnsi="Palatino Linotype" w:cs="Calibri"/>
          <w:b/>
        </w:rPr>
        <w:t>M</w:t>
      </w:r>
      <w:r w:rsidR="00233FF7">
        <w:rPr>
          <w:rFonts w:ascii="Palatino Linotype" w:hAnsi="Palatino Linotype" w:cs="Calibri"/>
          <w:b/>
        </w:rPr>
        <w:t>üdürlüğü</w:t>
      </w:r>
      <w:r w:rsidR="00233FF7" w:rsidRPr="00111E88">
        <w:rPr>
          <w:rFonts w:ascii="Palatino Linotype" w:hAnsi="Palatino Linotype" w:cs="Calibri"/>
          <w:b/>
        </w:rPr>
        <w:t xml:space="preserve"> Siber </w:t>
      </w:r>
      <w:r w:rsidR="00233FF7">
        <w:rPr>
          <w:rFonts w:ascii="Palatino Linotype" w:hAnsi="Palatino Linotype" w:cs="Calibri"/>
          <w:b/>
        </w:rPr>
        <w:t>S</w:t>
      </w:r>
      <w:r w:rsidR="00233FF7" w:rsidRPr="00111E88">
        <w:rPr>
          <w:rFonts w:ascii="Palatino Linotype" w:hAnsi="Palatino Linotype" w:cs="Calibri"/>
          <w:b/>
        </w:rPr>
        <w:t xml:space="preserve">uçlarla </w:t>
      </w:r>
      <w:r w:rsidR="00233FF7">
        <w:rPr>
          <w:rFonts w:ascii="Palatino Linotype" w:hAnsi="Palatino Linotype" w:cs="Calibri"/>
          <w:b/>
        </w:rPr>
        <w:t>M</w:t>
      </w:r>
      <w:r w:rsidR="00233FF7" w:rsidRPr="00111E88">
        <w:rPr>
          <w:rFonts w:ascii="Palatino Linotype" w:hAnsi="Palatino Linotype" w:cs="Calibri"/>
          <w:b/>
        </w:rPr>
        <w:t>ücadele</w:t>
      </w:r>
      <w:r w:rsidR="00233FF7" w:rsidRPr="00111E88">
        <w:rPr>
          <w:rFonts w:ascii="Palatino Linotype" w:hAnsi="Palatino Linotype" w:cs="Calibri"/>
          <w:b/>
        </w:rPr>
        <w:t xml:space="preserve"> </w:t>
      </w:r>
      <w:r w:rsidRPr="00111E88">
        <w:rPr>
          <w:rFonts w:ascii="Palatino Linotype" w:hAnsi="Palatino Linotype" w:cs="Calibri"/>
          <w:b/>
        </w:rPr>
        <w:t>Dairesi</w:t>
      </w:r>
      <w:r w:rsidR="00BB1952" w:rsidRPr="00111E88">
        <w:rPr>
          <w:rFonts w:ascii="Palatino Linotype" w:hAnsi="Palatino Linotype" w:cs="Calibri"/>
          <w:b/>
        </w:rPr>
        <w:t>ne aşağıdaki soruların yazılı olarak sorularak verilen cevabı mahkemeye sunulmasını:</w:t>
      </w:r>
    </w:p>
    <w:p w14:paraId="373B060B" w14:textId="2B1CA648" w:rsidR="00BB1952" w:rsidRPr="00111E88" w:rsidRDefault="00BB1952"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İnceleme raporuna göre Lexar marka SD kartın adli imajı alınmış ancak içeriğinin şifreli olması nedeni ile adli imajın bir klonu oluşturularak inceleme işlemleri yazma korumalı olarak bu klon içerisinde gerçekleştirilmiştir.</w:t>
      </w:r>
      <w:r w:rsidRPr="00111E88">
        <w:rPr>
          <w:rFonts w:ascii="Palatino Linotype" w:hAnsi="Palatino Linotype"/>
        </w:rPr>
        <w:t xml:space="preserve"> </w:t>
      </w:r>
      <w:r w:rsidRPr="00111E88">
        <w:rPr>
          <w:rFonts w:ascii="Palatino Linotype" w:hAnsi="Palatino Linotype" w:cs="Calibri"/>
          <w:b/>
        </w:rPr>
        <w:t>Eğer yazma korumalı olarak inceleme işlemleri yapılabiliyor ise klonunun oluşturulmasına neden ihtiyaç duyulmuştur?</w:t>
      </w:r>
    </w:p>
    <w:p w14:paraId="6E63A883" w14:textId="77777777" w:rsidR="00BB1952" w:rsidRPr="00111E88" w:rsidRDefault="00BB1952"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Lexar marka SD kartın imaj alma işlemi 01:11:55 de tamamlanmış, devamında klon alma işlemi yapılmış olmasına rağmen, Porteus Linux işletim sisteminin masaüstü görüntüsünde saat 01:40 olduğu görülmektedir. 30 dakikadan kısa bir süre içerisinde Porteus Linux işletim sisteminin kullanıcı şifresi hangi yöntemler kullanılarak çözülmüştür ve şifre nedir?</w:t>
      </w:r>
    </w:p>
    <w:p w14:paraId="0044A59A" w14:textId="7209B5B0" w:rsidR="00BB1952" w:rsidRPr="00111E88" w:rsidRDefault="00BB1952"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Porteus Linux işletim sistemi disk yapısında sdb1, sdb2, sdb3 ve sdb4 olmak üzere 4 adet disk bölümünün olduğu, bunlardan sdb2 ve sdb4 bölümlerinin TrueCrypt ile şifrelenmiş olduğu</w:t>
      </w:r>
      <w:r w:rsidR="00233FF7">
        <w:rPr>
          <w:rFonts w:ascii="Palatino Linotype" w:hAnsi="Palatino Linotype" w:cs="Calibri"/>
          <w:b/>
        </w:rPr>
        <w:t xml:space="preserve"> ve</w:t>
      </w:r>
      <w:r w:rsidRPr="00111E88">
        <w:rPr>
          <w:rFonts w:ascii="Palatino Linotype" w:hAnsi="Palatino Linotype" w:cs="Calibri"/>
          <w:b/>
        </w:rPr>
        <w:t xml:space="preserve"> sdb3 bölümünde Porteus Linux işletim sisteminin kendisinin olduğu görülmesine rağmen bu disk bölümlerinin şifreleri hangi yöntemler kullanılarak çözülmüştür ve bu şifreler nedir?</w:t>
      </w:r>
    </w:p>
    <w:p w14:paraId="6491A9BC" w14:textId="0FA6B66A" w:rsidR="00BB1952" w:rsidRPr="00111E88" w:rsidRDefault="00BB1952"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İlk Windows işletim sisteminin içerisinde bulunduğu sdb2 disk bölümünün True</w:t>
      </w:r>
      <w:r w:rsidR="00233FF7">
        <w:rPr>
          <w:rFonts w:ascii="Palatino Linotype" w:hAnsi="Palatino Linotype" w:cs="Calibri"/>
          <w:b/>
        </w:rPr>
        <w:t>C</w:t>
      </w:r>
      <w:r w:rsidRPr="00111E88">
        <w:rPr>
          <w:rFonts w:ascii="Palatino Linotype" w:hAnsi="Palatino Linotype" w:cs="Calibri"/>
          <w:b/>
        </w:rPr>
        <w:t>rypt şifresi aşılmadan masaüstüne nasıl ulaşılmıştır?</w:t>
      </w:r>
    </w:p>
    <w:p w14:paraId="4C26646F" w14:textId="77777777" w:rsidR="00233FF7" w:rsidRDefault="00BB1952" w:rsidP="00233FF7">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İlk Windows işletim sistemi için imaj alma işleminin 42 dakika 42 saniye sürdüğü, hâlbuki Lexar SD kartın tamamının 9 dakika 20 saniyede imajının alındığı bilinmekle, daha küçük boyutlu bir alanda imaj alma işleminin nasıl oluyor da daha uzun süre zaman almaktadır?</w:t>
      </w:r>
    </w:p>
    <w:p w14:paraId="2811117D" w14:textId="18FCC7FE" w:rsidR="00BB1952" w:rsidRPr="00233FF7" w:rsidRDefault="00233FF7" w:rsidP="00233FF7">
      <w:pPr>
        <w:pStyle w:val="ListeParagraf"/>
        <w:numPr>
          <w:ilvl w:val="0"/>
          <w:numId w:val="2"/>
        </w:numPr>
        <w:ind w:left="0" w:firstLine="567"/>
        <w:jc w:val="both"/>
        <w:rPr>
          <w:rFonts w:ascii="Palatino Linotype" w:hAnsi="Palatino Linotype" w:cs="Calibri"/>
          <w:b/>
        </w:rPr>
      </w:pPr>
      <w:r>
        <w:rPr>
          <w:rFonts w:ascii="Palatino Linotype" w:hAnsi="Palatino Linotype" w:cs="Calibri"/>
          <w:b/>
        </w:rPr>
        <w:t xml:space="preserve">          </w:t>
      </w:r>
      <w:r w:rsidRPr="00233FF7">
        <w:rPr>
          <w:rFonts w:ascii="Palatino Linotype" w:hAnsi="Palatino Linotype" w:cs="Calibri"/>
          <w:b/>
        </w:rPr>
        <w:t xml:space="preserve"> </w:t>
      </w:r>
      <w:r w:rsidR="00BB1952" w:rsidRPr="00233FF7">
        <w:rPr>
          <w:rFonts w:ascii="Palatino Linotype" w:hAnsi="Palatino Linotype" w:cs="Calibri"/>
          <w:b/>
        </w:rPr>
        <w:t>sdb1 disk bölümünün ilk Windows İşletim Sistemi içerisinden açık bir şekilde erişime açık halde iken imajının alındığı, imaj alma işleminin 2 saat 7 dakika 25 saniye sürdüğü, hâlbuki Lexar SD kartın tamamının 9 dakika 20 saniyede imajının alındığı bilinmekle, daha küçük boyutlu bir alanda imaj alma işlemi</w:t>
      </w:r>
      <w:r w:rsidR="00DB4713">
        <w:rPr>
          <w:rFonts w:ascii="Palatino Linotype" w:hAnsi="Palatino Linotype" w:cs="Calibri"/>
          <w:b/>
        </w:rPr>
        <w:t xml:space="preserve"> neden</w:t>
      </w:r>
      <w:r w:rsidR="00BB1952" w:rsidRPr="00233FF7">
        <w:rPr>
          <w:rFonts w:ascii="Palatino Linotype" w:hAnsi="Palatino Linotype" w:cs="Calibri"/>
          <w:b/>
        </w:rPr>
        <w:t xml:space="preserve"> daha uzun sür</w:t>
      </w:r>
      <w:r w:rsidR="00DB4713">
        <w:rPr>
          <w:rFonts w:ascii="Palatino Linotype" w:hAnsi="Palatino Linotype" w:cs="Calibri"/>
          <w:b/>
        </w:rPr>
        <w:t>müştür</w:t>
      </w:r>
      <w:r w:rsidR="00BB1952" w:rsidRPr="00233FF7">
        <w:rPr>
          <w:rFonts w:ascii="Palatino Linotype" w:hAnsi="Palatino Linotype" w:cs="Calibri"/>
          <w:b/>
        </w:rPr>
        <w:t>?</w:t>
      </w:r>
    </w:p>
    <w:p w14:paraId="31D8B523" w14:textId="77777777" w:rsidR="00BB1952" w:rsidRPr="00111E88" w:rsidRDefault="00BB1952"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sdb1 disk bölümüne Porteus Linux işletim sistemi içerisinden doğrudan erişmek mümkünken, neden Windows işletim sistemi içerisinden dolaşılmıştır?</w:t>
      </w:r>
    </w:p>
    <w:p w14:paraId="61A9D98D" w14:textId="77777777" w:rsidR="00BB1952" w:rsidRPr="00111E88" w:rsidRDefault="00BB1952"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Sdb2 bölümü neden incelenmediği halde ikinci Windows işletim sisteminin sdb2 disk bölümünde yer aldığı nasıl tespit edilmiştir?</w:t>
      </w:r>
    </w:p>
    <w:p w14:paraId="4C0BEE42" w14:textId="5658E4AB" w:rsidR="00BB1952" w:rsidRPr="00111E88" w:rsidRDefault="00DB4713" w:rsidP="00111E88">
      <w:pPr>
        <w:pStyle w:val="ListeParagraf"/>
        <w:numPr>
          <w:ilvl w:val="0"/>
          <w:numId w:val="2"/>
        </w:numPr>
        <w:ind w:left="0" w:firstLine="567"/>
        <w:jc w:val="both"/>
        <w:rPr>
          <w:rFonts w:ascii="Palatino Linotype" w:hAnsi="Palatino Linotype" w:cs="Calibri"/>
          <w:b/>
        </w:rPr>
      </w:pPr>
      <w:r>
        <w:rPr>
          <w:rFonts w:ascii="Palatino Linotype" w:hAnsi="Palatino Linotype" w:cs="Calibri"/>
          <w:b/>
        </w:rPr>
        <w:lastRenderedPageBreak/>
        <w:t xml:space="preserve">             </w:t>
      </w:r>
      <w:r w:rsidR="00BB1952" w:rsidRPr="00111E88">
        <w:rPr>
          <w:rFonts w:ascii="Palatino Linotype" w:hAnsi="Palatino Linotype" w:cs="Calibri"/>
          <w:b/>
        </w:rPr>
        <w:t>İnceleme Raporuna ilişkin tüm işlemlerin 19 ve 20 Nisan 2017 tarihlerinde tamamlanmış olmasına rağmen raporun yazılması (veya imzalanması) için neden 05.06.2018 tarihine kadar beklenilmiştir?</w:t>
      </w:r>
    </w:p>
    <w:p w14:paraId="00C0335F" w14:textId="2984B908" w:rsidR="00804049" w:rsidRPr="00111E88" w:rsidRDefault="00DB4713" w:rsidP="00111E88">
      <w:pPr>
        <w:pStyle w:val="ListeParagraf"/>
        <w:numPr>
          <w:ilvl w:val="0"/>
          <w:numId w:val="2"/>
        </w:numPr>
        <w:ind w:left="0" w:firstLine="567"/>
        <w:jc w:val="both"/>
        <w:rPr>
          <w:rFonts w:ascii="Palatino Linotype" w:hAnsi="Palatino Linotype" w:cs="Calibri"/>
          <w:b/>
        </w:rPr>
      </w:pPr>
      <w:r>
        <w:rPr>
          <w:rFonts w:ascii="Palatino Linotype" w:hAnsi="Palatino Linotype" w:cs="Calibri"/>
          <w:b/>
        </w:rPr>
        <w:t xml:space="preserve">             </w:t>
      </w:r>
      <w:r w:rsidR="00804049" w:rsidRPr="00111E88">
        <w:rPr>
          <w:rFonts w:ascii="Palatino Linotype" w:hAnsi="Palatino Linotype" w:cs="Calibri"/>
          <w:b/>
        </w:rPr>
        <w:t>Tüm Liste ve şifreli diğer dosyalara ait oluşturulma tarihi, son erişim tarihi ve son düzenleme tarihi bilgilerinin ekran alıntısı neden kesilmiştir?</w:t>
      </w:r>
    </w:p>
    <w:p w14:paraId="687F6B5F" w14:textId="77777777" w:rsidR="00804049" w:rsidRPr="00111E88" w:rsidRDefault="00804049"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Veri bütünlüğü nasıl sağlanmıştır?</w:t>
      </w:r>
    </w:p>
    <w:p w14:paraId="7B470DA0" w14:textId="7637BAAA" w:rsidR="00804049" w:rsidRPr="00111E88" w:rsidRDefault="00DB4713" w:rsidP="00111E88">
      <w:pPr>
        <w:pStyle w:val="ListeParagraf"/>
        <w:numPr>
          <w:ilvl w:val="0"/>
          <w:numId w:val="2"/>
        </w:numPr>
        <w:ind w:left="0" w:firstLine="567"/>
        <w:jc w:val="both"/>
        <w:rPr>
          <w:rFonts w:ascii="Palatino Linotype" w:hAnsi="Palatino Linotype" w:cs="Calibri"/>
          <w:b/>
        </w:rPr>
      </w:pPr>
      <w:r>
        <w:rPr>
          <w:rFonts w:ascii="Palatino Linotype" w:hAnsi="Palatino Linotype" w:cs="Calibri"/>
          <w:b/>
        </w:rPr>
        <w:t xml:space="preserve">             </w:t>
      </w:r>
      <w:r w:rsidR="00804049" w:rsidRPr="00111E88">
        <w:rPr>
          <w:rFonts w:ascii="Palatino Linotype" w:hAnsi="Palatino Linotype" w:cs="Calibri"/>
          <w:b/>
        </w:rPr>
        <w:t>İmaj alma sırasında neden manipülasyon yapılmıştır?</w:t>
      </w:r>
    </w:p>
    <w:p w14:paraId="6FE2B0ED" w14:textId="5300FDDF" w:rsidR="00804049" w:rsidRPr="00111E88" w:rsidRDefault="00804049" w:rsidP="00111E88">
      <w:pPr>
        <w:pStyle w:val="ListeParagraf"/>
        <w:numPr>
          <w:ilvl w:val="0"/>
          <w:numId w:val="2"/>
        </w:numPr>
        <w:ind w:left="0" w:firstLine="567"/>
        <w:jc w:val="both"/>
        <w:rPr>
          <w:rFonts w:ascii="Palatino Linotype" w:hAnsi="Palatino Linotype" w:cs="Calibri"/>
          <w:b/>
        </w:rPr>
      </w:pPr>
      <w:r w:rsidRPr="00111E88">
        <w:rPr>
          <w:rFonts w:ascii="Palatino Linotype" w:hAnsi="Palatino Linotype" w:cs="Calibri"/>
          <w:b/>
        </w:rPr>
        <w:t>Raporun kabul edilebilirliği açısından inceleme metodu, inceleme sürecinde hangi donanım ve yazılımın kullanıldığı, hangi anahtar kelimelerin aratıldığı ve hangi işlem sonucunda hangi sonuca ulaşıldığı belirli değildir. İnceleme süreci içerisinde delil üzerinde yapılan işlemler fotoğraf, video ve yazılı olarak kaydedilmelidir. Ancak</w:t>
      </w:r>
      <w:r w:rsidR="00DB4713">
        <w:rPr>
          <w:rFonts w:ascii="Palatino Linotype" w:hAnsi="Palatino Linotype" w:cs="Calibri"/>
          <w:b/>
        </w:rPr>
        <w:t>,</w:t>
      </w:r>
      <w:r w:rsidRPr="00111E88">
        <w:rPr>
          <w:rFonts w:ascii="Palatino Linotype" w:hAnsi="Palatino Linotype" w:cs="Calibri"/>
          <w:b/>
        </w:rPr>
        <w:t xml:space="preserve"> inceleme sürecine ilişkin raporda bu hususların eksik olduğu anlaşılmaktadır ve incelemenin güvenirliği ile objektifliği nasıl sağlanmıştır?</w:t>
      </w:r>
    </w:p>
    <w:p w14:paraId="66AA7366" w14:textId="1A552B8B" w:rsidR="00BB1952" w:rsidRPr="00111E88" w:rsidRDefault="00DB4713"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E</w:t>
      </w:r>
      <w:r>
        <w:rPr>
          <w:rFonts w:ascii="Palatino Linotype" w:hAnsi="Palatino Linotype" w:cs="Calibri"/>
          <w:b/>
        </w:rPr>
        <w:t xml:space="preserve">mniyet </w:t>
      </w:r>
      <w:r w:rsidRPr="00111E88">
        <w:rPr>
          <w:rFonts w:ascii="Palatino Linotype" w:hAnsi="Palatino Linotype" w:cs="Calibri"/>
          <w:b/>
        </w:rPr>
        <w:t>G</w:t>
      </w:r>
      <w:r>
        <w:rPr>
          <w:rFonts w:ascii="Palatino Linotype" w:hAnsi="Palatino Linotype" w:cs="Calibri"/>
          <w:b/>
        </w:rPr>
        <w:t xml:space="preserve">enel </w:t>
      </w:r>
      <w:r w:rsidRPr="00111E88">
        <w:rPr>
          <w:rFonts w:ascii="Palatino Linotype" w:hAnsi="Palatino Linotype" w:cs="Calibri"/>
          <w:b/>
        </w:rPr>
        <w:t>M</w:t>
      </w:r>
      <w:r>
        <w:rPr>
          <w:rFonts w:ascii="Palatino Linotype" w:hAnsi="Palatino Linotype" w:cs="Calibri"/>
          <w:b/>
        </w:rPr>
        <w:t>üdürlüğü</w:t>
      </w:r>
      <w:r w:rsidR="00804049" w:rsidRPr="00111E88">
        <w:rPr>
          <w:rFonts w:ascii="Palatino Linotype" w:hAnsi="Palatino Linotype" w:cs="Calibri"/>
          <w:b/>
        </w:rPr>
        <w:t xml:space="preserve"> Siber </w:t>
      </w:r>
      <w:r>
        <w:rPr>
          <w:rFonts w:ascii="Palatino Linotype" w:hAnsi="Palatino Linotype" w:cs="Calibri"/>
          <w:b/>
        </w:rPr>
        <w:t>S</w:t>
      </w:r>
      <w:r w:rsidR="00804049" w:rsidRPr="00111E88">
        <w:rPr>
          <w:rFonts w:ascii="Palatino Linotype" w:hAnsi="Palatino Linotype" w:cs="Calibri"/>
          <w:b/>
        </w:rPr>
        <w:t xml:space="preserve">uçlarla </w:t>
      </w:r>
      <w:r>
        <w:rPr>
          <w:rFonts w:ascii="Palatino Linotype" w:hAnsi="Palatino Linotype" w:cs="Calibri"/>
          <w:b/>
        </w:rPr>
        <w:t>M</w:t>
      </w:r>
      <w:r w:rsidR="00804049" w:rsidRPr="00111E88">
        <w:rPr>
          <w:rFonts w:ascii="Palatino Linotype" w:hAnsi="Palatino Linotype" w:cs="Calibri"/>
          <w:b/>
        </w:rPr>
        <w:t xml:space="preserve">ücadele </w:t>
      </w:r>
      <w:r>
        <w:rPr>
          <w:rFonts w:ascii="Palatino Linotype" w:hAnsi="Palatino Linotype" w:cs="Calibri"/>
          <w:b/>
        </w:rPr>
        <w:t>D</w:t>
      </w:r>
      <w:r w:rsidR="00804049" w:rsidRPr="00111E88">
        <w:rPr>
          <w:rFonts w:ascii="Palatino Linotype" w:hAnsi="Palatino Linotype" w:cs="Calibri"/>
          <w:b/>
        </w:rPr>
        <w:t>airesince veri inceleme raporu hazırlayan personelin tanık olarak mahkemede dinlenmesini,</w:t>
      </w:r>
    </w:p>
    <w:p w14:paraId="341A0146" w14:textId="77777777" w:rsidR="00BB1952" w:rsidRPr="00111E88" w:rsidRDefault="00804049"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Dijital materyale fiziki müdahalede bulunmanın yasal dayanağı nedir, fiziki inceleme tutanağı var mıdır, inceleme anına ilişkin kamera kaydı var mıdır, bunların birer örneğinin mahkemeye sunulmasını,</w:t>
      </w:r>
    </w:p>
    <w:p w14:paraId="64AF9F83" w14:textId="77777777" w:rsidR="00FB3F4F" w:rsidRPr="00111E88" w:rsidRDefault="00FB3F4F"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Fiziki müdahale hangi yazılımsal ya da donanımsal araçlarla gerçekleştirilmiştir? Fiziki müdahale işlemini gerçekleştiren kişinin yetkinliğini gösterir sertifikası var mıdır, varsa mahkemeye sunulmasını,</w:t>
      </w:r>
    </w:p>
    <w:p w14:paraId="40875090" w14:textId="77777777" w:rsidR="00FB3F4F" w:rsidRPr="00111E88" w:rsidRDefault="00FB3F4F"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Kod anlamlandırması yapan KOM daire personelinin tanık olarak dinlenmesini,</w:t>
      </w:r>
    </w:p>
    <w:p w14:paraId="222A7457" w14:textId="77777777" w:rsidR="00FB3F4F" w:rsidRPr="00111E88" w:rsidRDefault="00FB3F4F"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KOM dairesince hazırlanan raporların birer örneğinin mahkemeye sunulmasını,</w:t>
      </w:r>
    </w:p>
    <w:p w14:paraId="51BDE0C8" w14:textId="77777777" w:rsidR="00804049" w:rsidRPr="00111E88" w:rsidRDefault="00804049"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Garson kod adli gizli tanığın imzaları farklı olduğundan, garson hakkında istiktap kararı alınmasını,</w:t>
      </w:r>
    </w:p>
    <w:p w14:paraId="7C6534D1" w14:textId="507434FC" w:rsidR="00FB3F4F" w:rsidRPr="00111E88" w:rsidRDefault="00FB3F4F"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Garson kod adlı gizli tanığın mahkemede sorgusunun yapılması için duruşmaya getirtilmesini,</w:t>
      </w:r>
    </w:p>
    <w:p w14:paraId="51A81FCC" w14:textId="77777777" w:rsidR="00FB3F4F" w:rsidRPr="00111E88" w:rsidRDefault="00FB3F4F"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Gizli tanıklık kararının mahkemeye sunulmasını,</w:t>
      </w:r>
    </w:p>
    <w:p w14:paraId="39D8C846" w14:textId="77777777" w:rsidR="00B1586A" w:rsidRPr="00111E88" w:rsidRDefault="00B1586A" w:rsidP="00111E88">
      <w:pPr>
        <w:pStyle w:val="ListeParagraf"/>
        <w:numPr>
          <w:ilvl w:val="0"/>
          <w:numId w:val="1"/>
        </w:numPr>
        <w:ind w:left="0" w:firstLine="567"/>
        <w:jc w:val="both"/>
        <w:rPr>
          <w:rFonts w:ascii="Palatino Linotype" w:hAnsi="Palatino Linotype" w:cs="Calibri"/>
          <w:b/>
        </w:rPr>
      </w:pPr>
      <w:r w:rsidRPr="00111E88">
        <w:rPr>
          <w:rFonts w:ascii="Palatino Linotype" w:hAnsi="Palatino Linotype" w:cs="Calibri"/>
          <w:b/>
        </w:rPr>
        <w:t>Kişisel verileri hukuka aykırı olarak ele geçiren, özel hayatın gizliliğini ihlal eden Garson hakkında suç duyurusunda bulunulmasını,</w:t>
      </w:r>
    </w:p>
    <w:p w14:paraId="312162E2" w14:textId="0D7B03D5" w:rsidR="00F65BEE" w:rsidRPr="00DB4713" w:rsidRDefault="00F65BEE" w:rsidP="00DB4713">
      <w:pPr>
        <w:pStyle w:val="ListeParagraf"/>
        <w:numPr>
          <w:ilvl w:val="0"/>
          <w:numId w:val="1"/>
        </w:numPr>
        <w:ind w:left="0" w:firstLine="567"/>
        <w:jc w:val="both"/>
        <w:rPr>
          <w:rFonts w:ascii="Palatino Linotype" w:hAnsi="Palatino Linotype" w:cs="Calibri"/>
          <w:b/>
        </w:rPr>
      </w:pPr>
      <w:r w:rsidRPr="00111E88">
        <w:rPr>
          <w:rFonts w:ascii="Palatino Linotype" w:eastAsia="Times New Roman" w:hAnsi="Palatino Linotype" w:cstheme="minorHAnsi"/>
          <w:b/>
          <w:color w:val="000000"/>
          <w:lang w:eastAsia="tr-TR"/>
        </w:rPr>
        <w:t xml:space="preserve">Yukarıda bahsedilen delillerin duruşma yapılarak mahkeme huzurunda çelişme </w:t>
      </w:r>
      <w:r w:rsidR="00F473E7" w:rsidRPr="00111E88">
        <w:rPr>
          <w:rFonts w:ascii="Palatino Linotype" w:eastAsia="Times New Roman" w:hAnsi="Palatino Linotype" w:cstheme="minorHAnsi"/>
          <w:b/>
          <w:color w:val="000000"/>
          <w:lang w:eastAsia="tr-TR"/>
        </w:rPr>
        <w:t>ve silahların</w:t>
      </w:r>
      <w:r w:rsidRPr="00111E88">
        <w:rPr>
          <w:rFonts w:ascii="Palatino Linotype" w:eastAsia="Times New Roman" w:hAnsi="Palatino Linotype" w:cstheme="minorHAnsi"/>
          <w:b/>
          <w:color w:val="000000"/>
          <w:lang w:eastAsia="tr-TR"/>
        </w:rPr>
        <w:t xml:space="preserve"> eşitliği gereği tartışılmasını</w:t>
      </w:r>
      <w:r w:rsidR="00DB4713">
        <w:rPr>
          <w:rFonts w:ascii="Palatino Linotype" w:eastAsia="Times New Roman" w:hAnsi="Palatino Linotype" w:cstheme="minorHAnsi"/>
          <w:b/>
          <w:color w:val="000000"/>
          <w:lang w:eastAsia="tr-TR"/>
        </w:rPr>
        <w:t xml:space="preserve"> a</w:t>
      </w:r>
      <w:r w:rsidR="00FB3F4F" w:rsidRPr="00DB4713">
        <w:rPr>
          <w:rFonts w:ascii="Palatino Linotype" w:eastAsia="Times New Roman" w:hAnsi="Palatino Linotype" w:cstheme="minorHAnsi"/>
          <w:b/>
          <w:color w:val="000000"/>
          <w:lang w:eastAsia="tr-TR"/>
        </w:rPr>
        <w:t xml:space="preserve">rz ve </w:t>
      </w:r>
      <w:r w:rsidR="00DB4713">
        <w:rPr>
          <w:rFonts w:ascii="Palatino Linotype" w:eastAsia="Times New Roman" w:hAnsi="Palatino Linotype" w:cstheme="minorHAnsi"/>
          <w:b/>
          <w:color w:val="000000"/>
          <w:lang w:eastAsia="tr-TR"/>
        </w:rPr>
        <w:t>t</w:t>
      </w:r>
      <w:r w:rsidR="00FB3F4F" w:rsidRPr="00DB4713">
        <w:rPr>
          <w:rFonts w:ascii="Palatino Linotype" w:eastAsia="Times New Roman" w:hAnsi="Palatino Linotype" w:cstheme="minorHAnsi"/>
          <w:b/>
          <w:color w:val="000000"/>
          <w:lang w:eastAsia="tr-TR"/>
        </w:rPr>
        <w:t>alep ederim.…../……/202</w:t>
      </w:r>
      <w:r w:rsidR="00DB4713">
        <w:rPr>
          <w:rFonts w:ascii="Palatino Linotype" w:eastAsia="Times New Roman" w:hAnsi="Palatino Linotype" w:cstheme="minorHAnsi"/>
          <w:b/>
          <w:color w:val="000000"/>
          <w:lang w:eastAsia="tr-TR"/>
        </w:rPr>
        <w:t>3</w:t>
      </w:r>
    </w:p>
    <w:p w14:paraId="3DE58142" w14:textId="77777777" w:rsidR="00DB4713" w:rsidRDefault="00F65BEE" w:rsidP="00111E88">
      <w:pPr>
        <w:ind w:firstLine="567"/>
        <w:jc w:val="both"/>
        <w:rPr>
          <w:rFonts w:ascii="Palatino Linotype" w:eastAsia="Times New Roman" w:hAnsi="Palatino Linotype" w:cstheme="minorHAnsi"/>
          <w:color w:val="000000"/>
          <w:lang w:eastAsia="tr-TR"/>
        </w:rPr>
      </w:pPr>
      <w:r w:rsidRPr="00111E88">
        <w:rPr>
          <w:rFonts w:ascii="Palatino Linotype" w:eastAsia="Times New Roman" w:hAnsi="Palatino Linotype" w:cstheme="minorHAnsi"/>
          <w:color w:val="000000"/>
          <w:lang w:eastAsia="tr-TR"/>
        </w:rPr>
        <w:t xml:space="preserve">                                                                                                                </w:t>
      </w:r>
    </w:p>
    <w:p w14:paraId="1826158B" w14:textId="77777777" w:rsidR="00DB4713" w:rsidRDefault="00DB4713" w:rsidP="00111E88">
      <w:pPr>
        <w:ind w:firstLine="567"/>
        <w:jc w:val="both"/>
        <w:rPr>
          <w:rFonts w:ascii="Palatino Linotype" w:eastAsia="Times New Roman" w:hAnsi="Palatino Linotype" w:cstheme="minorHAnsi"/>
          <w:color w:val="000000"/>
          <w:lang w:eastAsia="tr-TR"/>
        </w:rPr>
      </w:pPr>
    </w:p>
    <w:p w14:paraId="31D1279A" w14:textId="77777777" w:rsidR="00DB4713" w:rsidRDefault="00DB4713" w:rsidP="00111E88">
      <w:pPr>
        <w:ind w:firstLine="567"/>
        <w:jc w:val="both"/>
        <w:rPr>
          <w:rFonts w:ascii="Palatino Linotype" w:eastAsia="Times New Roman" w:hAnsi="Palatino Linotype" w:cstheme="minorHAnsi"/>
          <w:color w:val="000000"/>
          <w:lang w:eastAsia="tr-TR"/>
        </w:rPr>
      </w:pPr>
    </w:p>
    <w:p w14:paraId="68DB42CE" w14:textId="0E9F5635" w:rsidR="00F65BEE" w:rsidRPr="00111E88" w:rsidRDefault="00F65BEE" w:rsidP="00DB4713">
      <w:pPr>
        <w:ind w:left="5664" w:firstLine="708"/>
        <w:jc w:val="both"/>
        <w:rPr>
          <w:rFonts w:ascii="Palatino Linotype" w:eastAsia="Times New Roman" w:hAnsi="Palatino Linotype" w:cstheme="minorHAnsi"/>
          <w:b/>
          <w:color w:val="000000"/>
          <w:lang w:eastAsia="tr-TR"/>
        </w:rPr>
      </w:pPr>
      <w:r w:rsidRPr="00111E88">
        <w:rPr>
          <w:rFonts w:ascii="Palatino Linotype" w:eastAsia="Times New Roman" w:hAnsi="Palatino Linotype" w:cstheme="minorHAnsi"/>
          <w:color w:val="000000"/>
          <w:lang w:eastAsia="tr-TR"/>
        </w:rPr>
        <w:t xml:space="preserve"> </w:t>
      </w:r>
      <w:r w:rsidRPr="00111E88">
        <w:rPr>
          <w:rFonts w:ascii="Palatino Linotype" w:eastAsia="Times New Roman" w:hAnsi="Palatino Linotype" w:cstheme="minorHAnsi"/>
          <w:b/>
          <w:color w:val="000000"/>
          <w:lang w:eastAsia="tr-TR"/>
        </w:rPr>
        <w:t>Talepte Bulunan Sanık</w:t>
      </w:r>
    </w:p>
    <w:p w14:paraId="5559B159" w14:textId="43463E55" w:rsidR="006D33DA" w:rsidRPr="00111E88" w:rsidRDefault="00F65BEE" w:rsidP="00111E88">
      <w:pPr>
        <w:ind w:firstLine="567"/>
        <w:jc w:val="both"/>
        <w:rPr>
          <w:rFonts w:ascii="Palatino Linotype" w:hAnsi="Palatino Linotype" w:cstheme="minorHAnsi"/>
          <w:b/>
          <w:u w:val="thick"/>
        </w:rPr>
      </w:pPr>
      <w:r w:rsidRPr="00111E88">
        <w:rPr>
          <w:rFonts w:ascii="Palatino Linotype" w:eastAsia="Times New Roman" w:hAnsi="Palatino Linotype" w:cstheme="minorHAnsi"/>
          <w:b/>
          <w:color w:val="000000"/>
          <w:lang w:eastAsia="tr-TR"/>
        </w:rPr>
        <w:t xml:space="preserve">                                                                                                                         (</w:t>
      </w:r>
      <w:r w:rsidR="00DB4713">
        <w:rPr>
          <w:rFonts w:ascii="Palatino Linotype" w:eastAsia="Times New Roman" w:hAnsi="Palatino Linotype" w:cstheme="minorHAnsi"/>
          <w:b/>
          <w:color w:val="000000"/>
          <w:lang w:eastAsia="tr-TR"/>
        </w:rPr>
        <w:t>A</w:t>
      </w:r>
      <w:r w:rsidRPr="00111E88">
        <w:rPr>
          <w:rFonts w:ascii="Palatino Linotype" w:eastAsia="Times New Roman" w:hAnsi="Palatino Linotype" w:cstheme="minorHAnsi"/>
          <w:b/>
          <w:color w:val="000000"/>
          <w:lang w:eastAsia="tr-TR"/>
        </w:rPr>
        <w:t>d-</w:t>
      </w:r>
      <w:proofErr w:type="spellStart"/>
      <w:r w:rsidR="00DB4713">
        <w:rPr>
          <w:rFonts w:ascii="Palatino Linotype" w:eastAsia="Times New Roman" w:hAnsi="Palatino Linotype" w:cstheme="minorHAnsi"/>
          <w:b/>
          <w:color w:val="000000"/>
          <w:lang w:eastAsia="tr-TR"/>
        </w:rPr>
        <w:t>S</w:t>
      </w:r>
      <w:r w:rsidRPr="00111E88">
        <w:rPr>
          <w:rFonts w:ascii="Palatino Linotype" w:eastAsia="Times New Roman" w:hAnsi="Palatino Linotype" w:cstheme="minorHAnsi"/>
          <w:b/>
          <w:color w:val="000000"/>
          <w:lang w:eastAsia="tr-TR"/>
        </w:rPr>
        <w:t>oyad</w:t>
      </w:r>
      <w:proofErr w:type="spellEnd"/>
      <w:r w:rsidRPr="00111E88">
        <w:rPr>
          <w:rFonts w:ascii="Palatino Linotype" w:eastAsia="Times New Roman" w:hAnsi="Palatino Linotype" w:cstheme="minorHAnsi"/>
          <w:b/>
          <w:color w:val="000000"/>
          <w:lang w:eastAsia="tr-TR"/>
        </w:rPr>
        <w:t>)</w:t>
      </w:r>
    </w:p>
    <w:sectPr w:rsidR="006D33DA" w:rsidRPr="00111E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29E1" w14:textId="77777777" w:rsidR="00D41C11" w:rsidRDefault="00D41C11" w:rsidP="00111E88">
      <w:pPr>
        <w:spacing w:after="0" w:line="240" w:lineRule="auto"/>
      </w:pPr>
      <w:r>
        <w:separator/>
      </w:r>
    </w:p>
  </w:endnote>
  <w:endnote w:type="continuationSeparator" w:id="0">
    <w:p w14:paraId="41D0F74E" w14:textId="77777777" w:rsidR="00D41C11" w:rsidRDefault="00D41C11" w:rsidP="0011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E8EC" w14:textId="77777777" w:rsidR="00D41C11" w:rsidRDefault="00D41C11" w:rsidP="00111E88">
      <w:pPr>
        <w:spacing w:after="0" w:line="240" w:lineRule="auto"/>
      </w:pPr>
      <w:r>
        <w:separator/>
      </w:r>
    </w:p>
  </w:footnote>
  <w:footnote w:type="continuationSeparator" w:id="0">
    <w:p w14:paraId="685B43B0" w14:textId="77777777" w:rsidR="00D41C11" w:rsidRDefault="00D41C11" w:rsidP="00111E88">
      <w:pPr>
        <w:spacing w:after="0" w:line="240" w:lineRule="auto"/>
      </w:pPr>
      <w:r>
        <w:continuationSeparator/>
      </w:r>
    </w:p>
  </w:footnote>
  <w:footnote w:id="1">
    <w:p w14:paraId="7031ECE1" w14:textId="63A1D75C" w:rsidR="00111E88" w:rsidRDefault="00111E88" w:rsidP="00111E88">
      <w:pPr>
        <w:pStyle w:val="DipnotMetni"/>
        <w:ind w:left="567" w:hanging="567"/>
        <w:jc w:val="both"/>
      </w:pPr>
      <w:r>
        <w:rPr>
          <w:rStyle w:val="DipnotBavurusu"/>
        </w:rPr>
        <w:footnoteRef/>
      </w:r>
      <w:r>
        <w:t xml:space="preserve">  </w:t>
      </w:r>
      <w:r>
        <w:tab/>
      </w:r>
      <w:r w:rsidRPr="00111E88">
        <w:rPr>
          <w:rFonts w:ascii="Palatino Linotype" w:hAnsi="Palatino Linotype" w:cstheme="minorHAnsi"/>
          <w:bCs/>
        </w:rPr>
        <w:t xml:space="preserve">AİHM’in </w:t>
      </w:r>
      <w:proofErr w:type="spellStart"/>
      <w:r w:rsidRPr="00111E88">
        <w:rPr>
          <w:rFonts w:ascii="Palatino Linotype" w:hAnsi="Palatino Linotype" w:cstheme="minorHAnsi"/>
          <w:bCs/>
        </w:rPr>
        <w:t>Kuopila</w:t>
      </w:r>
      <w:proofErr w:type="spellEnd"/>
      <w:r w:rsidRPr="00111E88">
        <w:rPr>
          <w:rFonts w:ascii="Palatino Linotype" w:hAnsi="Palatino Linotype" w:cstheme="minorHAnsi"/>
          <w:bCs/>
        </w:rPr>
        <w:t xml:space="preserve">/Finlandiya kararı, B.No: 27752/95, 27.4.2000, §38; </w:t>
      </w:r>
      <w:proofErr w:type="spellStart"/>
      <w:r w:rsidRPr="00111E88">
        <w:rPr>
          <w:rFonts w:ascii="Palatino Linotype" w:hAnsi="Palatino Linotype" w:cstheme="minorHAnsi"/>
          <w:bCs/>
        </w:rPr>
        <w:t>Buchberger</w:t>
      </w:r>
      <w:proofErr w:type="spellEnd"/>
      <w:r w:rsidRPr="00111E88">
        <w:rPr>
          <w:rFonts w:ascii="Palatino Linotype" w:hAnsi="Palatino Linotype" w:cstheme="minorHAnsi"/>
          <w:bCs/>
        </w:rPr>
        <w:t>/Avusturya kararı, B.No: 32899/96, 20.12.2001, §§ 50-51.</w:t>
      </w:r>
    </w:p>
  </w:footnote>
  <w:footnote w:id="2">
    <w:p w14:paraId="65653B1C" w14:textId="610A95C8" w:rsidR="0084664E" w:rsidRDefault="0084664E" w:rsidP="0084664E">
      <w:pPr>
        <w:pStyle w:val="DipnotMetni"/>
        <w:ind w:left="567" w:hanging="567"/>
      </w:pPr>
      <w:r>
        <w:rPr>
          <w:rStyle w:val="DipnotBavurusu"/>
        </w:rPr>
        <w:footnoteRef/>
      </w:r>
      <w:r>
        <w:t xml:space="preserve">  </w:t>
      </w:r>
      <w:r>
        <w:tab/>
      </w:r>
      <w:r w:rsidRPr="0084664E">
        <w:rPr>
          <w:rFonts w:ascii="Palatino Linotype" w:hAnsi="Palatino Linotype" w:cstheme="minorHAnsi"/>
          <w:bCs/>
        </w:rPr>
        <w:t>AYM’nin 07/5/2012 T., 2011/37 E., 2012/69 K. sayılı kararı</w:t>
      </w:r>
    </w:p>
  </w:footnote>
  <w:footnote w:id="3">
    <w:p w14:paraId="376DA262" w14:textId="77777777" w:rsidR="003F6209" w:rsidRDefault="003F6209" w:rsidP="003F6209">
      <w:pPr>
        <w:pStyle w:val="DipnotMetni"/>
        <w:ind w:left="567" w:hanging="567"/>
      </w:pPr>
      <w:r>
        <w:rPr>
          <w:rStyle w:val="DipnotBavurusu"/>
        </w:rPr>
        <w:footnoteRef/>
      </w:r>
      <w:r>
        <w:t xml:space="preserve">  </w:t>
      </w:r>
      <w:r>
        <w:tab/>
      </w:r>
      <w:r w:rsidRPr="00017647">
        <w:rPr>
          <w:rFonts w:ascii="Palatino Linotype" w:hAnsi="Palatino Linotype" w:cstheme="minorHAnsi"/>
          <w:bCs/>
        </w:rPr>
        <w:t>AYM’nin Yankı Bağcıoğlu ve diğerleri başvurusu, §§ 60-61, 65, 68-69, 71-72-73, 76.</w:t>
      </w:r>
    </w:p>
  </w:footnote>
  <w:footnote w:id="4">
    <w:p w14:paraId="29B34E37" w14:textId="124667E5" w:rsidR="00017647" w:rsidRDefault="00017647" w:rsidP="00017647">
      <w:pPr>
        <w:pStyle w:val="DipnotMetni"/>
        <w:ind w:left="567" w:hanging="567"/>
      </w:pPr>
      <w:r>
        <w:rPr>
          <w:rStyle w:val="DipnotBavurusu"/>
        </w:rPr>
        <w:footnoteRef/>
      </w:r>
      <w:r>
        <w:t xml:space="preserve">  </w:t>
      </w:r>
      <w:r>
        <w:tab/>
      </w:r>
      <w:r w:rsidRPr="00017647">
        <w:rPr>
          <w:rFonts w:ascii="Palatino Linotype" w:hAnsi="Palatino Linotype" w:cstheme="minorHAnsi"/>
          <w:bCs/>
        </w:rPr>
        <w:t>AİHM’in</w:t>
      </w:r>
      <w:r w:rsidRPr="00017647">
        <w:rPr>
          <w:rFonts w:ascii="Palatino Linotype" w:hAnsi="Palatino Linotype" w:cstheme="minorHAnsi"/>
          <w:bCs/>
          <w:sz w:val="22"/>
          <w:szCs w:val="22"/>
        </w:rPr>
        <w:t xml:space="preserve"> </w:t>
      </w:r>
      <w:proofErr w:type="spellStart"/>
      <w:r w:rsidRPr="00017647">
        <w:rPr>
          <w:rFonts w:ascii="Palatino Linotype" w:hAnsi="Palatino Linotype" w:cstheme="minorHAnsi"/>
          <w:bCs/>
          <w:sz w:val="22"/>
          <w:szCs w:val="22"/>
        </w:rPr>
        <w:t>Kerojarvi</w:t>
      </w:r>
      <w:proofErr w:type="spellEnd"/>
      <w:r w:rsidRPr="00017647">
        <w:rPr>
          <w:rFonts w:ascii="Palatino Linotype" w:hAnsi="Palatino Linotype" w:cstheme="minorHAnsi"/>
          <w:bCs/>
          <w:sz w:val="22"/>
          <w:szCs w:val="22"/>
        </w:rPr>
        <w:t>/Finland</w:t>
      </w:r>
      <w:r w:rsidRPr="00017647">
        <w:rPr>
          <w:rFonts w:ascii="Palatino Linotype" w:hAnsi="Palatino Linotype" w:cstheme="minorHAnsi"/>
          <w:bCs/>
        </w:rPr>
        <w:t>iya kararı</w:t>
      </w:r>
      <w:r w:rsidRPr="00017647">
        <w:rPr>
          <w:rFonts w:ascii="Palatino Linotype" w:hAnsi="Palatino Linotype" w:cstheme="minorHAnsi"/>
          <w:bCs/>
          <w:sz w:val="22"/>
          <w:szCs w:val="22"/>
        </w:rPr>
        <w:t>, § 39.</w:t>
      </w:r>
    </w:p>
  </w:footnote>
  <w:footnote w:id="5">
    <w:p w14:paraId="04BE472C" w14:textId="7A6A5669" w:rsidR="00017647" w:rsidRDefault="00017647" w:rsidP="00017647">
      <w:pPr>
        <w:pStyle w:val="DipnotMetni"/>
        <w:ind w:left="567" w:hanging="567"/>
        <w:jc w:val="both"/>
      </w:pPr>
      <w:r>
        <w:rPr>
          <w:rStyle w:val="DipnotBavurusu"/>
        </w:rPr>
        <w:footnoteRef/>
      </w:r>
      <w:r>
        <w:t xml:space="preserve">  </w:t>
      </w:r>
      <w:r>
        <w:tab/>
      </w:r>
      <w:r w:rsidRPr="00017647">
        <w:rPr>
          <w:rFonts w:ascii="Palatino Linotype" w:hAnsi="Palatino Linotype" w:cstheme="minorHAnsi"/>
          <w:bCs/>
        </w:rPr>
        <w:t xml:space="preserve">AİHM’in Edwards/Büyük krallık kararı, B. No: 13071/87, 16.12.1992, §36; </w:t>
      </w:r>
      <w:proofErr w:type="spellStart"/>
      <w:r w:rsidRPr="00017647">
        <w:rPr>
          <w:rFonts w:ascii="Palatino Linotype" w:hAnsi="Palatino Linotype" w:cstheme="minorHAnsi"/>
          <w:bCs/>
        </w:rPr>
        <w:t>Jespers</w:t>
      </w:r>
      <w:proofErr w:type="spellEnd"/>
      <w:r w:rsidRPr="00017647">
        <w:rPr>
          <w:rFonts w:ascii="Palatino Linotype" w:hAnsi="Palatino Linotype" w:cstheme="minorHAnsi"/>
          <w:bCs/>
        </w:rPr>
        <w:t>/Belçika (</w:t>
      </w:r>
      <w:proofErr w:type="spellStart"/>
      <w:r w:rsidRPr="00017647">
        <w:rPr>
          <w:rFonts w:ascii="Palatino Linotype" w:hAnsi="Palatino Linotype" w:cstheme="minorHAnsi"/>
          <w:bCs/>
        </w:rPr>
        <w:t>Commission</w:t>
      </w:r>
      <w:proofErr w:type="spellEnd"/>
      <w:r w:rsidRPr="00017647">
        <w:rPr>
          <w:rFonts w:ascii="Palatino Linotype" w:hAnsi="Palatino Linotype" w:cstheme="minorHAnsi"/>
          <w:bCs/>
        </w:rPr>
        <w:t xml:space="preserve">, </w:t>
      </w:r>
      <w:proofErr w:type="spellStart"/>
      <w:r w:rsidRPr="00017647">
        <w:rPr>
          <w:rFonts w:ascii="Palatino Linotype" w:hAnsi="Palatino Linotype" w:cstheme="minorHAnsi"/>
          <w:bCs/>
        </w:rPr>
        <w:t>report</w:t>
      </w:r>
      <w:proofErr w:type="spellEnd"/>
      <w:r w:rsidRPr="00017647">
        <w:rPr>
          <w:rFonts w:ascii="Palatino Linotype" w:hAnsi="Palatino Linotype" w:cstheme="minorHAnsi"/>
          <w:bCs/>
        </w:rPr>
        <w:t>), B. No: 8403/78, 14.12.1981.</w:t>
      </w:r>
    </w:p>
  </w:footnote>
  <w:footnote w:id="6">
    <w:p w14:paraId="22A46CB8" w14:textId="38346658" w:rsidR="003F6209" w:rsidRDefault="003F6209" w:rsidP="003F6209">
      <w:pPr>
        <w:pStyle w:val="DipnotMetni"/>
        <w:ind w:left="567" w:hanging="567"/>
      </w:pPr>
      <w:r>
        <w:rPr>
          <w:rStyle w:val="DipnotBavurusu"/>
        </w:rPr>
        <w:footnoteRef/>
      </w:r>
      <w:r>
        <w:t xml:space="preserve">  </w:t>
      </w:r>
      <w:r>
        <w:tab/>
      </w:r>
      <w:r w:rsidRPr="003F6209">
        <w:rPr>
          <w:rFonts w:ascii="Palatino Linotype" w:hAnsi="Palatino Linotype" w:cstheme="minorHAnsi"/>
          <w:bCs/>
        </w:rPr>
        <w:t xml:space="preserve">AYM’nin Yankı Bağcıoğlu ve diğerleri başvurusu, § 62; </w:t>
      </w:r>
      <w:proofErr w:type="spellStart"/>
      <w:r w:rsidRPr="003F6209">
        <w:rPr>
          <w:rFonts w:ascii="Palatino Linotype" w:hAnsi="Palatino Linotype" w:cstheme="minorHAnsi"/>
          <w:bCs/>
        </w:rPr>
        <w:t>Cezair</w:t>
      </w:r>
      <w:proofErr w:type="spellEnd"/>
      <w:r w:rsidRPr="003F6209">
        <w:rPr>
          <w:rFonts w:ascii="Palatino Linotype" w:hAnsi="Palatino Linotype" w:cstheme="minorHAnsi"/>
          <w:bCs/>
        </w:rPr>
        <w:t xml:space="preserve"> Akgül başvurusu, §§ 34-35.</w:t>
      </w:r>
    </w:p>
  </w:footnote>
  <w:footnote w:id="7">
    <w:p w14:paraId="796598D0" w14:textId="5A246EA5" w:rsidR="003F6209" w:rsidRDefault="003F6209" w:rsidP="003F6209">
      <w:pPr>
        <w:pStyle w:val="DipnotMetni"/>
        <w:ind w:left="567" w:hanging="567"/>
      </w:pPr>
      <w:r>
        <w:rPr>
          <w:rStyle w:val="DipnotBavurusu"/>
        </w:rPr>
        <w:footnoteRef/>
      </w:r>
      <w:r>
        <w:t xml:space="preserve"> </w:t>
      </w:r>
      <w:r>
        <w:tab/>
      </w:r>
      <w:r w:rsidRPr="003F6209">
        <w:rPr>
          <w:rFonts w:ascii="Palatino Linotype" w:hAnsi="Palatino Linotype" w:cstheme="minorHAnsi"/>
          <w:bCs/>
        </w:rPr>
        <w:t>AYM</w:t>
      </w:r>
      <w:r>
        <w:rPr>
          <w:rFonts w:ascii="Palatino Linotype" w:hAnsi="Palatino Linotype" w:cstheme="minorHAnsi"/>
          <w:bCs/>
        </w:rPr>
        <w:t>’nin</w:t>
      </w:r>
      <w:r w:rsidRPr="003F6209">
        <w:rPr>
          <w:rFonts w:ascii="Palatino Linotype" w:hAnsi="Palatino Linotype" w:cstheme="minorHAnsi"/>
          <w:bCs/>
        </w:rPr>
        <w:t xml:space="preserve"> Yankı Bağcıoğlu ve diğerleri başvurusu, §§ 63,65.</w:t>
      </w:r>
    </w:p>
  </w:footnote>
  <w:footnote w:id="8">
    <w:p w14:paraId="664FFF52" w14:textId="13D262F6" w:rsidR="003F6209" w:rsidRDefault="003F6209" w:rsidP="003F6209">
      <w:pPr>
        <w:pStyle w:val="DipnotMetni"/>
        <w:ind w:left="567" w:hanging="567"/>
      </w:pPr>
      <w:r>
        <w:rPr>
          <w:rStyle w:val="DipnotBavurusu"/>
        </w:rPr>
        <w:footnoteRef/>
      </w:r>
      <w:r>
        <w:t xml:space="preserve">  </w:t>
      </w:r>
      <w:r>
        <w:tab/>
      </w:r>
      <w:r w:rsidRPr="003F6209">
        <w:rPr>
          <w:rFonts w:ascii="Palatino Linotype" w:hAnsi="Palatino Linotype" w:cstheme="minorHAnsi"/>
          <w:bCs/>
        </w:rPr>
        <w:t>AYM’nin Yankı Bağcıoğlu ve diğerleri başvurusu, §§ 69, 71-72,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344A"/>
    <w:multiLevelType w:val="hybridMultilevel"/>
    <w:tmpl w:val="B63A48FE"/>
    <w:lvl w:ilvl="0" w:tplc="041F0019">
      <w:start w:val="1"/>
      <w:numFmt w:val="lowerLetter"/>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6F820FC4"/>
    <w:multiLevelType w:val="hybridMultilevel"/>
    <w:tmpl w:val="CF684D36"/>
    <w:lvl w:ilvl="0" w:tplc="60368A90">
      <w:start w:val="1"/>
      <w:numFmt w:val="decimal"/>
      <w:lvlText w:val="%1."/>
      <w:lvlJc w:val="left"/>
      <w:pPr>
        <w:ind w:left="720" w:hanging="360"/>
      </w:pPr>
      <w:rPr>
        <w:rFonts w:ascii="Palatino Linotype" w:eastAsiaTheme="minorHAnsi" w:hAnsi="Palatino Linotype" w:cstheme="minorHAns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1731936">
    <w:abstractNumId w:val="1"/>
  </w:num>
  <w:num w:numId="2" w16cid:durableId="143112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C0"/>
    <w:rsid w:val="00017647"/>
    <w:rsid w:val="000A08B0"/>
    <w:rsid w:val="00111E88"/>
    <w:rsid w:val="001423C0"/>
    <w:rsid w:val="00170F52"/>
    <w:rsid w:val="00233FF7"/>
    <w:rsid w:val="00254D8C"/>
    <w:rsid w:val="00267F09"/>
    <w:rsid w:val="00347DE5"/>
    <w:rsid w:val="003D4E70"/>
    <w:rsid w:val="003F6209"/>
    <w:rsid w:val="005E49E1"/>
    <w:rsid w:val="00630147"/>
    <w:rsid w:val="006D33DA"/>
    <w:rsid w:val="007F12A6"/>
    <w:rsid w:val="00804049"/>
    <w:rsid w:val="0084664E"/>
    <w:rsid w:val="008513AF"/>
    <w:rsid w:val="008C0247"/>
    <w:rsid w:val="00A53591"/>
    <w:rsid w:val="00A640FD"/>
    <w:rsid w:val="00B1586A"/>
    <w:rsid w:val="00B6084A"/>
    <w:rsid w:val="00B67F93"/>
    <w:rsid w:val="00BB1952"/>
    <w:rsid w:val="00CC623E"/>
    <w:rsid w:val="00D41C11"/>
    <w:rsid w:val="00DB4713"/>
    <w:rsid w:val="00F473E7"/>
    <w:rsid w:val="00F65BEE"/>
    <w:rsid w:val="00FB3F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2AD3"/>
  <w15:chartTrackingRefBased/>
  <w15:docId w15:val="{AB51556C-FF49-4156-AF35-EDA9A3EF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7F09"/>
    <w:pPr>
      <w:ind w:left="720"/>
      <w:contextualSpacing/>
    </w:pPr>
  </w:style>
  <w:style w:type="paragraph" w:styleId="DipnotMetni">
    <w:name w:val="footnote text"/>
    <w:basedOn w:val="Normal"/>
    <w:link w:val="DipnotMetniChar"/>
    <w:uiPriority w:val="99"/>
    <w:semiHidden/>
    <w:unhideWhenUsed/>
    <w:rsid w:val="00111E8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11E88"/>
    <w:rPr>
      <w:sz w:val="20"/>
      <w:szCs w:val="20"/>
    </w:rPr>
  </w:style>
  <w:style w:type="character" w:styleId="DipnotBavurusu">
    <w:name w:val="footnote reference"/>
    <w:basedOn w:val="VarsaylanParagrafYazTipi"/>
    <w:uiPriority w:val="99"/>
    <w:semiHidden/>
    <w:unhideWhenUsed/>
    <w:rsid w:val="00111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19F2-527D-46A8-9AC0-D01A14A7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2920</Words>
  <Characters>16647</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Lenovo</cp:lastModifiedBy>
  <cp:revision>2</cp:revision>
  <dcterms:created xsi:type="dcterms:W3CDTF">2023-09-15T18:14:00Z</dcterms:created>
  <dcterms:modified xsi:type="dcterms:W3CDTF">2023-09-15T18:14:00Z</dcterms:modified>
</cp:coreProperties>
</file>