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0E6DD" w14:textId="7348A111" w:rsidR="00B84193" w:rsidRPr="00B84193" w:rsidRDefault="00B84193" w:rsidP="00B84193">
      <w:pPr>
        <w:spacing w:line="360" w:lineRule="auto"/>
        <w:ind w:left="4248"/>
        <w:rPr>
          <w:rFonts w:ascii="Palatino Linotype" w:hAnsi="Palatino Linotype" w:cs="Times New Roman"/>
          <w:b/>
          <w:i/>
          <w:iCs/>
          <w:u w:val="single"/>
        </w:rPr>
      </w:pPr>
      <w:r w:rsidRPr="00E732BA">
        <w:rPr>
          <w:rFonts w:ascii="Palatino Linotype" w:hAnsi="Palatino Linotype" w:cs="Times New Roman"/>
          <w:b/>
          <w:i/>
          <w:iCs/>
        </w:rPr>
        <w:t xml:space="preserve">         </w:t>
      </w:r>
      <w:r w:rsidRPr="00B84193">
        <w:rPr>
          <w:rFonts w:ascii="Palatino Linotype" w:hAnsi="Palatino Linotype" w:cs="Times New Roman"/>
          <w:b/>
          <w:i/>
          <w:iCs/>
          <w:u w:val="single"/>
        </w:rPr>
        <w:t>İNFAZIN DURDURULMASI TALEPLİDİR</w:t>
      </w:r>
    </w:p>
    <w:p w14:paraId="5A057171" w14:textId="77777777" w:rsidR="00B84193" w:rsidRPr="00B84193" w:rsidRDefault="00B84193" w:rsidP="00B84193">
      <w:pPr>
        <w:spacing w:line="360" w:lineRule="auto"/>
        <w:rPr>
          <w:rFonts w:ascii="Palatino Linotype" w:hAnsi="Palatino Linotype" w:cs="Times New Roman"/>
          <w:b/>
        </w:rPr>
      </w:pPr>
    </w:p>
    <w:p w14:paraId="1DDDEEFE" w14:textId="77777777" w:rsidR="00B84193" w:rsidRPr="00B84193" w:rsidRDefault="00B84193" w:rsidP="00B84193">
      <w:pPr>
        <w:spacing w:line="360" w:lineRule="auto"/>
        <w:jc w:val="center"/>
        <w:rPr>
          <w:rFonts w:ascii="Palatino Linotype" w:hAnsi="Palatino Linotype" w:cs="Times New Roman"/>
          <w:b/>
        </w:rPr>
      </w:pPr>
      <w:r w:rsidRPr="00B84193">
        <w:rPr>
          <w:rFonts w:ascii="Palatino Linotype" w:hAnsi="Palatino Linotype" w:cs="Times New Roman"/>
          <w:b/>
        </w:rPr>
        <w:t>YARGITAY CUMHURİYET BAŞSAVCILIĞI'NA</w:t>
      </w:r>
    </w:p>
    <w:p w14:paraId="6626522C" w14:textId="77777777" w:rsidR="00B84193" w:rsidRPr="00B84193" w:rsidRDefault="00B84193" w:rsidP="00B84193">
      <w:pPr>
        <w:spacing w:line="360" w:lineRule="auto"/>
        <w:jc w:val="center"/>
        <w:rPr>
          <w:rFonts w:ascii="Palatino Linotype" w:hAnsi="Palatino Linotype" w:cs="Times New Roman"/>
          <w:b/>
        </w:rPr>
      </w:pPr>
      <w:r w:rsidRPr="00B84193">
        <w:rPr>
          <w:rFonts w:ascii="Palatino Linotype" w:hAnsi="Palatino Linotype" w:cs="Times New Roman"/>
          <w:b/>
        </w:rPr>
        <w:t>Gönderilmek Üzere</w:t>
      </w:r>
    </w:p>
    <w:p w14:paraId="392EACEC" w14:textId="0556D242" w:rsidR="00951289" w:rsidRDefault="00B84193" w:rsidP="00B84193">
      <w:pPr>
        <w:spacing w:line="360" w:lineRule="auto"/>
        <w:jc w:val="center"/>
        <w:rPr>
          <w:rFonts w:ascii="Palatino Linotype" w:hAnsi="Palatino Linotype" w:cs="Times New Roman"/>
          <w:b/>
          <w:highlight w:val="yellow"/>
        </w:rPr>
      </w:pPr>
      <w:r>
        <w:rPr>
          <w:rFonts w:ascii="Palatino Linotype" w:hAnsi="Palatino Linotype" w:cs="Times New Roman"/>
          <w:b/>
        </w:rPr>
        <w:t>….</w:t>
      </w:r>
      <w:r w:rsidRPr="00B84193">
        <w:rPr>
          <w:rFonts w:ascii="Palatino Linotype" w:hAnsi="Palatino Linotype" w:cs="Times New Roman"/>
          <w:b/>
        </w:rPr>
        <w:t xml:space="preserve"> . AĞIR CEZA MAHKEMESİ BAŞKANLIĞI'NA</w:t>
      </w:r>
    </w:p>
    <w:p w14:paraId="0C8E17CC" w14:textId="77777777" w:rsidR="00161044" w:rsidRPr="00C47AC0" w:rsidRDefault="00B76022" w:rsidP="00161044">
      <w:pPr>
        <w:spacing w:line="360" w:lineRule="auto"/>
        <w:jc w:val="center"/>
        <w:rPr>
          <w:rFonts w:ascii="Palatino Linotype" w:hAnsi="Palatino Linotype" w:cs="Times New Roman"/>
          <w:b/>
        </w:rPr>
      </w:pPr>
      <w:r w:rsidRPr="00C47AC0">
        <w:rPr>
          <w:rFonts w:ascii="Palatino Linotype" w:hAnsi="Palatino Linotype" w:cs="Times New Roman"/>
          <w:b/>
        </w:rPr>
        <w:t xml:space="preserve">                                                    </w:t>
      </w:r>
    </w:p>
    <w:p w14:paraId="720F92A6" w14:textId="43BE30B4" w:rsidR="00B76022" w:rsidRPr="007941E4" w:rsidRDefault="00261695" w:rsidP="007941E4">
      <w:pPr>
        <w:spacing w:line="360" w:lineRule="auto"/>
        <w:ind w:left="3828" w:hanging="3828"/>
        <w:rPr>
          <w:rFonts w:ascii="Palatino Linotype" w:hAnsi="Palatino Linotype" w:cs="Times New Roman"/>
        </w:rPr>
      </w:pPr>
      <w:r w:rsidRPr="00C47AC0">
        <w:rPr>
          <w:rFonts w:ascii="Palatino Linotype" w:hAnsi="Palatino Linotype" w:cs="Times New Roman"/>
          <w:b/>
        </w:rPr>
        <w:t xml:space="preserve"> </w:t>
      </w:r>
      <w:r w:rsidR="00B76022" w:rsidRPr="00C47AC0">
        <w:rPr>
          <w:rFonts w:ascii="Palatino Linotype" w:hAnsi="Palatino Linotype" w:cs="Times New Roman"/>
          <w:b/>
          <w:u w:val="thick"/>
        </w:rPr>
        <w:t>D</w:t>
      </w:r>
      <w:r w:rsidR="007941E4">
        <w:rPr>
          <w:rFonts w:ascii="Palatino Linotype" w:hAnsi="Palatino Linotype" w:cs="Times New Roman"/>
          <w:b/>
          <w:u w:val="thick"/>
        </w:rPr>
        <w:t>OSYA NO</w:t>
      </w:r>
      <w:r w:rsidR="007941E4">
        <w:rPr>
          <w:rFonts w:ascii="Palatino Linotype" w:hAnsi="Palatino Linotype" w:cs="Times New Roman"/>
          <w:b/>
          <w:u w:val="thick"/>
        </w:rPr>
        <w:tab/>
      </w:r>
      <w:r w:rsidR="00B76022" w:rsidRPr="00C47AC0">
        <w:rPr>
          <w:rFonts w:ascii="Palatino Linotype" w:hAnsi="Palatino Linotype" w:cs="Times New Roman"/>
          <w:b/>
          <w:u w:val="single"/>
        </w:rPr>
        <w:t>:</w:t>
      </w:r>
      <w:r w:rsidR="007941E4" w:rsidRPr="00B84193">
        <w:rPr>
          <w:rFonts w:ascii="Palatino Linotype" w:hAnsi="Palatino Linotype" w:cs="Times New Roman"/>
          <w:iCs/>
          <w:lang w:val="tr"/>
        </w:rPr>
        <w:t xml:space="preserve">Yargıtay 3. Ceza Dairesinin </w:t>
      </w:r>
      <w:r w:rsidR="007941E4" w:rsidRPr="007941E4">
        <w:rPr>
          <w:rFonts w:ascii="Palatino Linotype" w:hAnsi="Palatino Linotype" w:cs="Times New Roman"/>
          <w:iCs/>
          <w:highlight w:val="yellow"/>
          <w:lang w:val="tr"/>
        </w:rPr>
        <w:t>.../.../ tarih ve .... Esas - ....</w:t>
      </w:r>
      <w:r w:rsidR="007941E4" w:rsidRPr="00B84193">
        <w:rPr>
          <w:rFonts w:ascii="Palatino Linotype" w:hAnsi="Palatino Linotype" w:cs="Times New Roman"/>
          <w:iCs/>
          <w:lang w:val="tr"/>
        </w:rPr>
        <w:t xml:space="preserve"> </w:t>
      </w:r>
      <w:r w:rsidR="007941E4">
        <w:rPr>
          <w:rFonts w:ascii="Palatino Linotype" w:hAnsi="Palatino Linotype" w:cs="Times New Roman"/>
          <w:iCs/>
          <w:lang w:val="tr"/>
        </w:rPr>
        <w:t>K</w:t>
      </w:r>
      <w:r w:rsidR="007941E4" w:rsidRPr="00B84193">
        <w:rPr>
          <w:rFonts w:ascii="Palatino Linotype" w:hAnsi="Palatino Linotype" w:cs="Times New Roman"/>
          <w:iCs/>
          <w:lang w:val="tr"/>
        </w:rPr>
        <w:t>arar sayılı</w:t>
      </w:r>
      <w:r w:rsidR="007941E4">
        <w:rPr>
          <w:rFonts w:ascii="Palatino Linotype" w:hAnsi="Palatino Linotype" w:cs="Times New Roman"/>
          <w:iCs/>
          <w:lang w:val="tr"/>
        </w:rPr>
        <w:t xml:space="preserve"> kararı </w:t>
      </w:r>
      <w:r w:rsidR="007941E4" w:rsidRPr="007941E4">
        <w:rPr>
          <w:rFonts w:ascii="Palatino Linotype" w:hAnsi="Palatino Linotype" w:cs="Times New Roman"/>
          <w:iCs/>
          <w:lang w:val="tr"/>
        </w:rPr>
        <w:t>(</w:t>
      </w:r>
      <w:r w:rsidR="007941E4" w:rsidRPr="007941E4">
        <w:rPr>
          <w:rFonts w:ascii="Palatino Linotype" w:hAnsi="Palatino Linotype" w:cs="Times New Roman"/>
        </w:rPr>
        <w:t xml:space="preserve"> </w:t>
      </w:r>
      <w:r w:rsidR="007941E4" w:rsidRPr="007941E4">
        <w:rPr>
          <w:rFonts w:ascii="Palatino Linotype" w:hAnsi="Palatino Linotype" w:cs="Times New Roman"/>
          <w:highlight w:val="yellow"/>
        </w:rPr>
        <w:t>…</w:t>
      </w:r>
      <w:r w:rsidR="007941E4" w:rsidRPr="007941E4">
        <w:rPr>
          <w:rFonts w:ascii="Palatino Linotype" w:hAnsi="Palatino Linotype" w:cs="Times New Roman"/>
        </w:rPr>
        <w:t xml:space="preserve">Ağır Ceza Mahkemesinin </w:t>
      </w:r>
      <w:r w:rsidR="007941E4" w:rsidRPr="007941E4">
        <w:rPr>
          <w:rFonts w:ascii="Palatino Linotype" w:hAnsi="Palatino Linotype" w:cs="Times New Roman"/>
          <w:highlight w:val="yellow"/>
        </w:rPr>
        <w:t>..</w:t>
      </w:r>
      <w:r w:rsidR="00B76022" w:rsidRPr="007941E4">
        <w:rPr>
          <w:rFonts w:ascii="Palatino Linotype" w:hAnsi="Palatino Linotype" w:cs="Times New Roman"/>
          <w:highlight w:val="yellow"/>
        </w:rPr>
        <w:t>.</w:t>
      </w:r>
      <w:r w:rsidR="007941E4" w:rsidRPr="007941E4">
        <w:rPr>
          <w:rFonts w:ascii="Palatino Linotype" w:hAnsi="Palatino Linotype" w:cs="Times New Roman"/>
          <w:highlight w:val="yellow"/>
        </w:rPr>
        <w:t>Tarih, …./</w:t>
      </w:r>
      <w:r w:rsidR="00B76022" w:rsidRPr="007941E4">
        <w:rPr>
          <w:rFonts w:ascii="Palatino Linotype" w:hAnsi="Palatino Linotype" w:cs="Times New Roman"/>
          <w:highlight w:val="yellow"/>
        </w:rPr>
        <w:t>E</w:t>
      </w:r>
      <w:r w:rsidR="007941E4" w:rsidRPr="007941E4">
        <w:rPr>
          <w:rFonts w:ascii="Palatino Linotype" w:hAnsi="Palatino Linotype" w:cs="Times New Roman"/>
          <w:highlight w:val="yellow"/>
        </w:rPr>
        <w:t>.</w:t>
      </w:r>
      <w:r w:rsidR="00B76022" w:rsidRPr="007941E4">
        <w:rPr>
          <w:rFonts w:ascii="Palatino Linotype" w:hAnsi="Palatino Linotype" w:cs="Times New Roman"/>
          <w:highlight w:val="yellow"/>
        </w:rPr>
        <w:t>, …K</w:t>
      </w:r>
      <w:r w:rsidR="007941E4" w:rsidRPr="007941E4">
        <w:rPr>
          <w:rFonts w:ascii="Palatino Linotype" w:hAnsi="Palatino Linotype" w:cs="Times New Roman"/>
          <w:highlight w:val="yellow"/>
        </w:rPr>
        <w:t>.</w:t>
      </w:r>
      <w:r w:rsidR="007941E4" w:rsidRPr="007941E4">
        <w:rPr>
          <w:rFonts w:ascii="Palatino Linotype" w:hAnsi="Palatino Linotype" w:cs="Times New Roman"/>
        </w:rPr>
        <w:t xml:space="preserve"> sayılı kararına ilişkin)</w:t>
      </w:r>
    </w:p>
    <w:p w14:paraId="67E876F3" w14:textId="77777777" w:rsidR="00B84193" w:rsidRDefault="00B84193" w:rsidP="00926DF6">
      <w:pPr>
        <w:spacing w:line="360" w:lineRule="auto"/>
        <w:jc w:val="both"/>
        <w:rPr>
          <w:rFonts w:ascii="Palatino Linotype" w:hAnsi="Palatino Linotype" w:cs="Times New Roman"/>
          <w:b/>
          <w:highlight w:val="yellow"/>
        </w:rPr>
      </w:pPr>
    </w:p>
    <w:p w14:paraId="12F82576" w14:textId="4B571C60" w:rsidR="00B76022" w:rsidRPr="00C47AC0" w:rsidRDefault="00926DF6" w:rsidP="00926DF6">
      <w:pPr>
        <w:spacing w:line="360" w:lineRule="auto"/>
        <w:jc w:val="both"/>
        <w:rPr>
          <w:rFonts w:ascii="Palatino Linotype" w:hAnsi="Palatino Linotype" w:cs="Times New Roman"/>
          <w:b/>
        </w:rPr>
      </w:pPr>
      <w:r w:rsidRPr="00B84193">
        <w:rPr>
          <w:rFonts w:ascii="Palatino Linotype" w:hAnsi="Palatino Linotype" w:cs="Times New Roman"/>
          <w:b/>
          <w:highlight w:val="yellow"/>
        </w:rPr>
        <w:t xml:space="preserve">NOT: </w:t>
      </w:r>
      <w:r w:rsidR="00681B83" w:rsidRPr="00B84193">
        <w:rPr>
          <w:rFonts w:ascii="Palatino Linotype" w:hAnsi="Palatino Linotype" w:cs="Times New Roman"/>
          <w:b/>
          <w:highlight w:val="yellow"/>
        </w:rPr>
        <w:t>Sarıya boyalı kısımlar</w:t>
      </w:r>
      <w:r w:rsidRPr="00B84193">
        <w:rPr>
          <w:rFonts w:ascii="Palatino Linotype" w:hAnsi="Palatino Linotype" w:cs="Times New Roman"/>
          <w:b/>
          <w:highlight w:val="yellow"/>
        </w:rPr>
        <w:t xml:space="preserve"> herkes</w:t>
      </w:r>
      <w:r w:rsidR="00681B83" w:rsidRPr="00B84193">
        <w:rPr>
          <w:rFonts w:ascii="Palatino Linotype" w:hAnsi="Palatino Linotype" w:cs="Times New Roman"/>
          <w:b/>
          <w:highlight w:val="yellow"/>
        </w:rPr>
        <w:t>in</w:t>
      </w:r>
      <w:r w:rsidRPr="00B84193">
        <w:rPr>
          <w:rFonts w:ascii="Palatino Linotype" w:hAnsi="Palatino Linotype" w:cs="Times New Roman"/>
          <w:b/>
          <w:highlight w:val="yellow"/>
        </w:rPr>
        <w:t xml:space="preserve"> kendi durumuna </w:t>
      </w:r>
      <w:r w:rsidR="00681B83" w:rsidRPr="00B84193">
        <w:rPr>
          <w:rFonts w:ascii="Palatino Linotype" w:hAnsi="Palatino Linotype" w:cs="Times New Roman"/>
          <w:b/>
          <w:highlight w:val="yellow"/>
        </w:rPr>
        <w:t xml:space="preserve">göre </w:t>
      </w:r>
      <w:r w:rsidRPr="00B84193">
        <w:rPr>
          <w:rFonts w:ascii="Palatino Linotype" w:hAnsi="Palatino Linotype" w:cs="Times New Roman"/>
          <w:b/>
          <w:highlight w:val="yellow"/>
        </w:rPr>
        <w:t>uyarla</w:t>
      </w:r>
      <w:r w:rsidR="00681B83" w:rsidRPr="00B84193">
        <w:rPr>
          <w:rFonts w:ascii="Palatino Linotype" w:hAnsi="Palatino Linotype" w:cs="Times New Roman"/>
          <w:b/>
          <w:highlight w:val="yellow"/>
        </w:rPr>
        <w:t>nmalıdır.</w:t>
      </w:r>
    </w:p>
    <w:p w14:paraId="54C1D8F6" w14:textId="08BB2EF6" w:rsidR="00B76022" w:rsidRPr="00C47AC0" w:rsidRDefault="00854D9B" w:rsidP="00261695">
      <w:pPr>
        <w:tabs>
          <w:tab w:val="left" w:pos="3870"/>
        </w:tabs>
        <w:spacing w:line="360" w:lineRule="auto"/>
        <w:jc w:val="both"/>
        <w:rPr>
          <w:rFonts w:ascii="Palatino Linotype" w:hAnsi="Palatino Linotype" w:cs="Times New Roman"/>
          <w:b/>
          <w:u w:val="thick"/>
        </w:rPr>
      </w:pPr>
      <w:r w:rsidRPr="00C47AC0">
        <w:rPr>
          <w:rFonts w:ascii="Palatino Linotype" w:hAnsi="Palatino Linotype" w:cs="Times New Roman"/>
          <w:b/>
          <w:u w:val="thick"/>
        </w:rPr>
        <w:t>Talepte Bulunan</w:t>
      </w:r>
      <w:r w:rsidR="006D3547">
        <w:rPr>
          <w:rFonts w:ascii="Palatino Linotype" w:hAnsi="Palatino Linotype" w:cs="Times New Roman"/>
          <w:b/>
          <w:u w:val="thick"/>
        </w:rPr>
        <w:tab/>
        <w:t>:</w:t>
      </w:r>
      <w:r w:rsidRPr="00C47AC0">
        <w:rPr>
          <w:rFonts w:ascii="Palatino Linotype" w:hAnsi="Palatino Linotype" w:cs="Times New Roman"/>
          <w:b/>
          <w:u w:val="thick"/>
        </w:rPr>
        <w:t xml:space="preserve"> </w:t>
      </w:r>
      <w:r w:rsidR="004E02D8" w:rsidRPr="00C47AC0">
        <w:rPr>
          <w:rFonts w:ascii="Palatino Linotype" w:hAnsi="Palatino Linotype" w:cs="Times New Roman"/>
          <w:b/>
          <w:highlight w:val="yellow"/>
          <w:u w:val="thick"/>
        </w:rPr>
        <w:t>Sanık/Hükümlü</w:t>
      </w:r>
      <w:r w:rsidR="00DC5A41" w:rsidRPr="00C47AC0">
        <w:rPr>
          <w:rFonts w:ascii="Palatino Linotype" w:hAnsi="Palatino Linotype" w:cs="Times New Roman"/>
          <w:b/>
          <w:highlight w:val="yellow"/>
          <w:u w:val="thick"/>
        </w:rPr>
        <w:t>/</w:t>
      </w:r>
      <w:r w:rsidR="006C1FA0">
        <w:rPr>
          <w:rFonts w:ascii="Palatino Linotype" w:hAnsi="Palatino Linotype" w:cs="Times New Roman"/>
          <w:b/>
          <w:highlight w:val="yellow"/>
          <w:u w:val="thick"/>
        </w:rPr>
        <w:t>Eşi</w:t>
      </w:r>
      <w:r w:rsidR="00B84193">
        <w:rPr>
          <w:rFonts w:ascii="Palatino Linotype" w:hAnsi="Palatino Linotype" w:cs="Times New Roman"/>
          <w:b/>
          <w:highlight w:val="yellow"/>
          <w:u w:val="thick"/>
        </w:rPr>
        <w:t>/Yasal Temsilcisi</w:t>
      </w:r>
      <w:r w:rsidR="00D97B5F" w:rsidRPr="00C47AC0">
        <w:rPr>
          <w:rFonts w:ascii="Palatino Linotype" w:hAnsi="Palatino Linotype" w:cs="Times New Roman"/>
          <w:b/>
          <w:highlight w:val="yellow"/>
          <w:u w:val="thick"/>
        </w:rPr>
        <w:t xml:space="preserve"> </w:t>
      </w:r>
      <w:r w:rsidR="00B76022" w:rsidRPr="00C47AC0">
        <w:rPr>
          <w:rFonts w:ascii="Palatino Linotype" w:hAnsi="Palatino Linotype" w:cs="Times New Roman"/>
          <w:b/>
          <w:highlight w:val="yellow"/>
          <w:u w:val="thick"/>
        </w:rPr>
        <w:t>:</w:t>
      </w:r>
    </w:p>
    <w:p w14:paraId="2BAD3EF1" w14:textId="521B0886" w:rsidR="00B76022" w:rsidRPr="00C47AC0" w:rsidRDefault="00B76022" w:rsidP="00261695">
      <w:pPr>
        <w:tabs>
          <w:tab w:val="left" w:pos="3870"/>
        </w:tabs>
        <w:spacing w:line="360" w:lineRule="auto"/>
        <w:jc w:val="both"/>
        <w:rPr>
          <w:rFonts w:ascii="Palatino Linotype" w:hAnsi="Palatino Linotype" w:cs="Times New Roman"/>
          <w:b/>
          <w:u w:val="thick"/>
        </w:rPr>
      </w:pPr>
      <w:r w:rsidRPr="00C47AC0">
        <w:rPr>
          <w:rFonts w:ascii="Palatino Linotype" w:hAnsi="Palatino Linotype" w:cs="Times New Roman"/>
          <w:b/>
          <w:u w:val="thick"/>
        </w:rPr>
        <w:t xml:space="preserve">Müdafii                      </w:t>
      </w:r>
      <w:r w:rsidR="00AC5724" w:rsidRPr="00C47AC0">
        <w:rPr>
          <w:rFonts w:ascii="Palatino Linotype" w:hAnsi="Palatino Linotype" w:cs="Times New Roman"/>
          <w:b/>
          <w:u w:val="thick"/>
        </w:rPr>
        <w:t xml:space="preserve">                           </w:t>
      </w:r>
      <w:r w:rsidR="00261695" w:rsidRPr="00C47AC0">
        <w:rPr>
          <w:rFonts w:ascii="Palatino Linotype" w:hAnsi="Palatino Linotype" w:cs="Times New Roman"/>
          <w:b/>
          <w:u w:val="thick"/>
        </w:rPr>
        <w:t xml:space="preserve"> </w:t>
      </w:r>
      <w:r w:rsidR="007941E4">
        <w:rPr>
          <w:rFonts w:ascii="Palatino Linotype" w:hAnsi="Palatino Linotype" w:cs="Times New Roman"/>
          <w:b/>
          <w:u w:val="thick"/>
        </w:rPr>
        <w:t xml:space="preserve">    </w:t>
      </w:r>
      <w:r w:rsidRPr="00C47AC0">
        <w:rPr>
          <w:rFonts w:ascii="Palatino Linotype" w:hAnsi="Palatino Linotype" w:cs="Times New Roman"/>
          <w:b/>
          <w:u w:val="thick"/>
        </w:rPr>
        <w:t>:</w:t>
      </w:r>
    </w:p>
    <w:p w14:paraId="48D626BB" w14:textId="52E4813E" w:rsidR="00A03E39" w:rsidRPr="00C47AC0" w:rsidRDefault="00D97B5F" w:rsidP="00B84193">
      <w:pPr>
        <w:tabs>
          <w:tab w:val="left" w:pos="3780"/>
        </w:tabs>
        <w:spacing w:line="360" w:lineRule="auto"/>
        <w:ind w:left="3960" w:hanging="3960"/>
        <w:jc w:val="both"/>
        <w:rPr>
          <w:rFonts w:ascii="Palatino Linotype" w:hAnsi="Palatino Linotype" w:cs="Times New Roman"/>
          <w:iCs/>
          <w:lang w:val="tr"/>
        </w:rPr>
      </w:pPr>
      <w:r w:rsidRPr="00C47AC0">
        <w:rPr>
          <w:rFonts w:ascii="Palatino Linotype" w:hAnsi="Palatino Linotype" w:cs="Times New Roman"/>
          <w:b/>
          <w:u w:val="thick"/>
        </w:rPr>
        <w:t>Talep Konusu</w:t>
      </w:r>
      <w:r w:rsidR="00A03E39" w:rsidRPr="00C47AC0">
        <w:rPr>
          <w:rFonts w:ascii="Palatino Linotype" w:hAnsi="Palatino Linotype" w:cs="Times New Roman"/>
          <w:b/>
          <w:u w:val="thick"/>
        </w:rPr>
        <w:t xml:space="preserve">                                      </w:t>
      </w:r>
      <w:r w:rsidR="00A03E39" w:rsidRPr="00C47AC0">
        <w:rPr>
          <w:rFonts w:ascii="Palatino Linotype" w:hAnsi="Palatino Linotype" w:cs="Times New Roman"/>
          <w:b/>
          <w:u w:val="thick"/>
        </w:rPr>
        <w:tab/>
        <w:t xml:space="preserve"> :</w:t>
      </w:r>
      <w:r w:rsidR="00B84193" w:rsidRPr="00B84193">
        <w:t xml:space="preserve"> </w:t>
      </w:r>
      <w:r w:rsidR="00B84193" w:rsidRPr="00B84193">
        <w:rPr>
          <w:rFonts w:ascii="Palatino Linotype" w:hAnsi="Palatino Linotype" w:cs="Times New Roman"/>
          <w:iCs/>
          <w:lang w:val="tr"/>
        </w:rPr>
        <w:t xml:space="preserve">Yargıtay 3. Ceza Dairesinin </w:t>
      </w:r>
      <w:r w:rsidR="00B84193">
        <w:rPr>
          <w:rFonts w:ascii="Palatino Linotype" w:hAnsi="Palatino Linotype" w:cs="Times New Roman"/>
          <w:iCs/>
          <w:lang w:val="tr"/>
        </w:rPr>
        <w:t>.../.../</w:t>
      </w:r>
      <w:r w:rsidR="00B84193" w:rsidRPr="00B84193">
        <w:rPr>
          <w:rFonts w:ascii="Palatino Linotype" w:hAnsi="Palatino Linotype" w:cs="Times New Roman"/>
          <w:iCs/>
          <w:lang w:val="tr"/>
        </w:rPr>
        <w:t xml:space="preserve"> tarih ve </w:t>
      </w:r>
      <w:r w:rsidR="00B84193">
        <w:rPr>
          <w:rFonts w:ascii="Palatino Linotype" w:hAnsi="Palatino Linotype" w:cs="Times New Roman"/>
          <w:iCs/>
          <w:lang w:val="tr"/>
        </w:rPr>
        <w:t xml:space="preserve">.... </w:t>
      </w:r>
      <w:r w:rsidR="00B84193" w:rsidRPr="00B84193">
        <w:rPr>
          <w:rFonts w:ascii="Palatino Linotype" w:hAnsi="Palatino Linotype" w:cs="Times New Roman"/>
          <w:iCs/>
          <w:lang w:val="tr"/>
        </w:rPr>
        <w:t xml:space="preserve">Esas - </w:t>
      </w:r>
      <w:r w:rsidR="00B84193">
        <w:rPr>
          <w:rFonts w:ascii="Palatino Linotype" w:hAnsi="Palatino Linotype" w:cs="Times New Roman"/>
          <w:iCs/>
          <w:lang w:val="tr"/>
        </w:rPr>
        <w:t>....</w:t>
      </w:r>
      <w:r w:rsidR="00B84193" w:rsidRPr="00B84193">
        <w:rPr>
          <w:rFonts w:ascii="Palatino Linotype" w:hAnsi="Palatino Linotype" w:cs="Times New Roman"/>
          <w:iCs/>
          <w:lang w:val="tr"/>
        </w:rPr>
        <w:t xml:space="preserve"> </w:t>
      </w:r>
      <w:r w:rsidR="00B84193">
        <w:rPr>
          <w:rFonts w:ascii="Palatino Linotype" w:hAnsi="Palatino Linotype" w:cs="Times New Roman"/>
          <w:iCs/>
          <w:lang w:val="tr"/>
        </w:rPr>
        <w:t>K</w:t>
      </w:r>
      <w:r w:rsidR="00B84193" w:rsidRPr="00B84193">
        <w:rPr>
          <w:rFonts w:ascii="Palatino Linotype" w:hAnsi="Palatino Linotype" w:cs="Times New Roman"/>
          <w:iCs/>
          <w:lang w:val="tr"/>
        </w:rPr>
        <w:t>arar sayılı onama kararının düzeltilmesi yoluyla BOZULMASI hakkında dilekçedir.</w:t>
      </w:r>
      <w:r w:rsidR="00B84193">
        <w:rPr>
          <w:rFonts w:ascii="Palatino Linotype" w:hAnsi="Palatino Linotype" w:cs="Times New Roman"/>
          <w:iCs/>
          <w:lang w:val="tr"/>
        </w:rPr>
        <w:t xml:space="preserve"> </w:t>
      </w:r>
      <w:r w:rsidR="006D3547" w:rsidRPr="006C1FA0">
        <w:rPr>
          <w:rFonts w:ascii="Palatino Linotype" w:hAnsi="Palatino Linotype" w:cs="Times New Roman"/>
          <w:iCs/>
          <w:highlight w:val="yellow"/>
          <w:lang w:val="tr"/>
        </w:rPr>
        <w:t>T</w:t>
      </w:r>
      <w:r w:rsidR="006C1FA0" w:rsidRPr="006C1FA0">
        <w:rPr>
          <w:rFonts w:ascii="Palatino Linotype" w:hAnsi="Palatino Linotype" w:cs="Times New Roman"/>
          <w:iCs/>
          <w:highlight w:val="yellow"/>
          <w:lang w:val="tr"/>
        </w:rPr>
        <w:t>utukluluğunun</w:t>
      </w:r>
      <w:r w:rsidR="006D3547">
        <w:rPr>
          <w:rFonts w:ascii="Palatino Linotype" w:hAnsi="Palatino Linotype" w:cs="Times New Roman"/>
          <w:iCs/>
          <w:highlight w:val="yellow"/>
          <w:lang w:val="tr"/>
        </w:rPr>
        <w:t xml:space="preserve"> kaldırılması</w:t>
      </w:r>
      <w:r w:rsidR="006C1FA0" w:rsidRPr="006C1FA0">
        <w:rPr>
          <w:rFonts w:ascii="Palatino Linotype" w:hAnsi="Palatino Linotype" w:cs="Times New Roman"/>
          <w:iCs/>
          <w:highlight w:val="yellow"/>
          <w:lang w:val="tr"/>
        </w:rPr>
        <w:t>/</w:t>
      </w:r>
      <w:r w:rsidR="006C1FA0" w:rsidRPr="006D3547">
        <w:rPr>
          <w:rFonts w:ascii="Palatino Linotype" w:hAnsi="Palatino Linotype" w:cs="Times New Roman"/>
          <w:iCs/>
          <w:highlight w:val="yellow"/>
          <w:lang w:val="tr"/>
        </w:rPr>
        <w:t>infazının</w:t>
      </w:r>
      <w:r w:rsidR="006D3547" w:rsidRPr="006D3547">
        <w:rPr>
          <w:rFonts w:ascii="Palatino Linotype" w:hAnsi="Palatino Linotype" w:cs="Times New Roman"/>
          <w:iCs/>
          <w:highlight w:val="yellow"/>
          <w:lang w:val="tr"/>
        </w:rPr>
        <w:t xml:space="preserve"> durdurulması</w:t>
      </w:r>
      <w:r w:rsidR="00A03E39" w:rsidRPr="00C47AC0">
        <w:rPr>
          <w:rFonts w:ascii="Palatino Linotype" w:hAnsi="Palatino Linotype" w:cs="Times New Roman"/>
          <w:iCs/>
          <w:lang w:val="tr"/>
        </w:rPr>
        <w:t xml:space="preserve"> istemine ilişkindir.</w:t>
      </w:r>
    </w:p>
    <w:p w14:paraId="30547AC5" w14:textId="3650E7EF" w:rsidR="00B76022" w:rsidRPr="00B84193" w:rsidRDefault="00D97B5F" w:rsidP="00B84193">
      <w:pPr>
        <w:tabs>
          <w:tab w:val="left" w:pos="3870"/>
        </w:tabs>
        <w:spacing w:line="360" w:lineRule="auto"/>
        <w:ind w:left="3960" w:hanging="3960"/>
        <w:jc w:val="both"/>
        <w:rPr>
          <w:rFonts w:ascii="Palatino Linotype" w:hAnsi="Palatino Linotype" w:cs="Times New Roman"/>
          <w:bCs/>
        </w:rPr>
      </w:pPr>
      <w:r w:rsidRPr="00C47AC0">
        <w:rPr>
          <w:rFonts w:ascii="Palatino Linotype" w:hAnsi="Palatino Linotype" w:cs="Times New Roman"/>
          <w:b/>
          <w:u w:val="thick"/>
        </w:rPr>
        <w:t>Dayanılan Hukuki Kurallar               :</w:t>
      </w:r>
      <w:r w:rsidRPr="00C47AC0">
        <w:rPr>
          <w:rFonts w:ascii="Palatino Linotype" w:hAnsi="Palatino Linotype" w:cs="Times New Roman"/>
          <w:bCs/>
        </w:rPr>
        <w:t xml:space="preserve"> </w:t>
      </w:r>
      <w:r w:rsidR="009815B6" w:rsidRPr="00C47AC0">
        <w:rPr>
          <w:rFonts w:ascii="Palatino Linotype" w:hAnsi="Palatino Linotype" w:cs="Times New Roman"/>
          <w:bCs/>
        </w:rPr>
        <w:t xml:space="preserve"> </w:t>
      </w:r>
      <w:r w:rsidR="00926DF6" w:rsidRPr="00C47AC0">
        <w:rPr>
          <w:rFonts w:ascii="Palatino Linotype" w:hAnsi="Palatino Linotype" w:cs="Times New Roman"/>
          <w:bCs/>
        </w:rPr>
        <w:t xml:space="preserve"> </w:t>
      </w:r>
      <w:r w:rsidR="00B84193" w:rsidRPr="00B84193">
        <w:rPr>
          <w:rFonts w:ascii="Palatino Linotype" w:hAnsi="Palatino Linotype" w:cs="Times New Roman"/>
          <w:bCs/>
        </w:rPr>
        <w:t>Anayasa’nın 33, 34, 36, 38, 51, 90, 138. ve 153. maddeleri,</w:t>
      </w:r>
      <w:r w:rsidR="00B84193">
        <w:rPr>
          <w:rFonts w:ascii="Palatino Linotype" w:hAnsi="Palatino Linotype" w:cs="Times New Roman"/>
          <w:bCs/>
        </w:rPr>
        <w:t xml:space="preserve"> </w:t>
      </w:r>
      <w:r w:rsidR="00B84193" w:rsidRPr="00B84193">
        <w:rPr>
          <w:rFonts w:ascii="Palatino Linotype" w:hAnsi="Palatino Linotype" w:cs="Times New Roman"/>
          <w:bCs/>
        </w:rPr>
        <w:t xml:space="preserve">AİHS’nin 6, 7, 11. ve 46. maddeleri,  6216 sayılı Kanunun 50. maddesi,  5271 sayılı CMK’nun 308. </w:t>
      </w:r>
      <w:proofErr w:type="spellStart"/>
      <w:r w:rsidR="00B84193" w:rsidRPr="00B84193">
        <w:rPr>
          <w:rFonts w:ascii="Palatino Linotype" w:hAnsi="Palatino Linotype" w:cs="Times New Roman"/>
          <w:bCs/>
        </w:rPr>
        <w:t>vd</w:t>
      </w:r>
      <w:proofErr w:type="spellEnd"/>
      <w:r w:rsidR="00B84193" w:rsidRPr="00B84193">
        <w:rPr>
          <w:rFonts w:ascii="Palatino Linotype" w:hAnsi="Palatino Linotype" w:cs="Times New Roman"/>
          <w:bCs/>
        </w:rPr>
        <w:t xml:space="preserve"> maddeleri.</w:t>
      </w:r>
    </w:p>
    <w:p w14:paraId="368261F7" w14:textId="77777777" w:rsidR="003A6719" w:rsidRPr="00C47AC0" w:rsidRDefault="003A6719" w:rsidP="003A6719">
      <w:pPr>
        <w:tabs>
          <w:tab w:val="left" w:pos="3870"/>
        </w:tabs>
        <w:spacing w:line="360" w:lineRule="auto"/>
        <w:jc w:val="center"/>
        <w:rPr>
          <w:rFonts w:ascii="Palatino Linotype" w:hAnsi="Palatino Linotype" w:cs="Times New Roman"/>
          <w:b/>
        </w:rPr>
      </w:pPr>
    </w:p>
    <w:p w14:paraId="65BBC1ED" w14:textId="5F96C7F8" w:rsidR="00261695" w:rsidRPr="00C47AC0" w:rsidRDefault="00261695" w:rsidP="003A6719">
      <w:pPr>
        <w:tabs>
          <w:tab w:val="left" w:pos="3870"/>
        </w:tabs>
        <w:spacing w:line="360" w:lineRule="auto"/>
        <w:jc w:val="center"/>
        <w:rPr>
          <w:rFonts w:ascii="Palatino Linotype" w:hAnsi="Palatino Linotype" w:cs="Times New Roman"/>
          <w:b/>
        </w:rPr>
      </w:pPr>
      <w:r w:rsidRPr="00C47AC0">
        <w:rPr>
          <w:rFonts w:ascii="Palatino Linotype" w:hAnsi="Palatino Linotype" w:cs="Times New Roman"/>
          <w:b/>
        </w:rPr>
        <w:t>AÇIKLAMALAR</w:t>
      </w:r>
    </w:p>
    <w:p w14:paraId="2A9EB87F" w14:textId="2931E1B9" w:rsidR="00261695" w:rsidRPr="00C47AC0" w:rsidRDefault="00261695" w:rsidP="00261695">
      <w:pPr>
        <w:tabs>
          <w:tab w:val="left" w:pos="3870"/>
        </w:tabs>
        <w:spacing w:line="360" w:lineRule="auto"/>
        <w:jc w:val="both"/>
        <w:rPr>
          <w:rFonts w:ascii="Palatino Linotype" w:hAnsi="Palatino Linotype" w:cs="Times New Roman"/>
          <w:b/>
        </w:rPr>
      </w:pPr>
      <w:r w:rsidRPr="00C47AC0">
        <w:rPr>
          <w:rFonts w:ascii="Palatino Linotype" w:hAnsi="Palatino Linotype" w:cs="Times New Roman"/>
          <w:b/>
        </w:rPr>
        <w:t xml:space="preserve">I. </w:t>
      </w:r>
      <w:r w:rsidR="00B84193">
        <w:rPr>
          <w:rFonts w:ascii="Palatino Linotype" w:hAnsi="Palatino Linotype" w:cs="Times New Roman"/>
          <w:b/>
        </w:rPr>
        <w:t>Başvuru</w:t>
      </w:r>
      <w:r w:rsidRPr="00C47AC0">
        <w:rPr>
          <w:rFonts w:ascii="Palatino Linotype" w:hAnsi="Palatino Linotype" w:cs="Times New Roman"/>
          <w:b/>
          <w:i/>
          <w:iCs/>
        </w:rPr>
        <w:t xml:space="preserve"> </w:t>
      </w:r>
      <w:r w:rsidRPr="00C47AC0">
        <w:rPr>
          <w:rFonts w:ascii="Palatino Linotype" w:hAnsi="Palatino Linotype" w:cs="Times New Roman"/>
          <w:b/>
        </w:rPr>
        <w:t>Gerekçe</w:t>
      </w:r>
      <w:r w:rsidR="0070131E" w:rsidRPr="00C47AC0">
        <w:rPr>
          <w:rFonts w:ascii="Palatino Linotype" w:hAnsi="Palatino Linotype" w:cs="Times New Roman"/>
          <w:b/>
        </w:rPr>
        <w:t>si</w:t>
      </w:r>
    </w:p>
    <w:p w14:paraId="4C8A5BCA" w14:textId="77777777" w:rsidR="00B84193" w:rsidRDefault="00B84193" w:rsidP="00B84193">
      <w:pPr>
        <w:pStyle w:val="ListeParagraf"/>
        <w:numPr>
          <w:ilvl w:val="0"/>
          <w:numId w:val="2"/>
        </w:numPr>
        <w:tabs>
          <w:tab w:val="left" w:pos="3870"/>
        </w:tabs>
        <w:spacing w:line="360" w:lineRule="auto"/>
        <w:ind w:left="567" w:right="-378" w:hanging="567"/>
        <w:jc w:val="both"/>
        <w:rPr>
          <w:rFonts w:ascii="Palatino Linotype" w:hAnsi="Palatino Linotype" w:cs="Times New Roman"/>
          <w:bCs/>
        </w:rPr>
      </w:pPr>
      <w:r w:rsidRPr="00B84193">
        <w:rPr>
          <w:rFonts w:ascii="Palatino Linotype" w:hAnsi="Palatino Linotype" w:cs="Times New Roman"/>
          <w:bCs/>
          <w:highlight w:val="yellow"/>
        </w:rPr>
        <w:t>….Ağır Ceza Mahkemesi’nin …./…./… tarihli ve …/… E. - …/… K.</w:t>
      </w:r>
      <w:r w:rsidRPr="00B84193">
        <w:rPr>
          <w:rFonts w:ascii="Palatino Linotype" w:hAnsi="Palatino Linotype" w:cs="Times New Roman"/>
          <w:bCs/>
        </w:rPr>
        <w:t xml:space="preserve"> sayılı kararı gereğince </w:t>
      </w:r>
      <w:r w:rsidRPr="00B84193">
        <w:rPr>
          <w:rFonts w:ascii="Palatino Linotype" w:hAnsi="Palatino Linotype" w:cs="Times New Roman"/>
          <w:bCs/>
          <w:highlight w:val="yellow"/>
        </w:rPr>
        <w:t>hakkımda/eşim hakkında/ vasisi olduğum … hakkında</w:t>
      </w:r>
      <w:r w:rsidRPr="00B84193">
        <w:rPr>
          <w:rFonts w:ascii="Palatino Linotype" w:hAnsi="Palatino Linotype" w:cs="Times New Roman"/>
          <w:bCs/>
        </w:rPr>
        <w:t xml:space="preserve"> silahlı terör örgütüne </w:t>
      </w:r>
      <w:r w:rsidRPr="00B84193">
        <w:rPr>
          <w:rFonts w:ascii="Palatino Linotype" w:hAnsi="Palatino Linotype" w:cs="Times New Roman"/>
          <w:bCs/>
          <w:highlight w:val="yellow"/>
        </w:rPr>
        <w:t>üye olma/yardım</w:t>
      </w:r>
      <w:r w:rsidRPr="00B84193">
        <w:rPr>
          <w:rFonts w:ascii="Palatino Linotype" w:hAnsi="Palatino Linotype" w:cs="Times New Roman"/>
          <w:bCs/>
        </w:rPr>
        <w:t xml:space="preserve"> suçundan mahkûmiyet kararı verilmiştir. Bu hükmün temyizi üzerine </w:t>
      </w:r>
      <w:r w:rsidRPr="00B84193">
        <w:rPr>
          <w:rFonts w:ascii="Palatino Linotype" w:hAnsi="Palatino Linotype" w:cs="Times New Roman"/>
          <w:iCs/>
          <w:lang w:val="tr"/>
        </w:rPr>
        <w:t xml:space="preserve">Yargıtay 3. Ceza Dairesi </w:t>
      </w:r>
      <w:r w:rsidRPr="00B84193">
        <w:rPr>
          <w:rFonts w:ascii="Palatino Linotype" w:hAnsi="Palatino Linotype" w:cs="Times New Roman"/>
          <w:iCs/>
          <w:lang w:val="tr"/>
        </w:rPr>
        <w:lastRenderedPageBreak/>
        <w:t xml:space="preserve">.../.../ tarih ve .... Esas - .... Karar sayılı </w:t>
      </w:r>
      <w:r w:rsidRPr="00B84193">
        <w:rPr>
          <w:rFonts w:ascii="Palatino Linotype" w:hAnsi="Palatino Linotype" w:cs="Times New Roman"/>
          <w:bCs/>
        </w:rPr>
        <w:t xml:space="preserve">kararı ile temyiz nedenlerimizi yerinde görmeyerek, temyiz isteminin reddi ile yerel mahkemenin kararının onanmasına karar vermiştir. Yerel mahkeme kararı ve Yargıtay 3. Ceza Dairesinin bu kararı onaması usul ve yasaya aykırıdır. Zira temyiz dilekçesinde yer verilen bozma nedenlerinin hiç birisi dikkate alınmamıştır. Ayrıca, dosyaya sunulan ve </w:t>
      </w:r>
      <w:r w:rsidRPr="00B84193">
        <w:rPr>
          <w:rFonts w:ascii="Palatino Linotype" w:hAnsi="Palatino Linotype" w:cs="Times New Roman"/>
          <w:bCs/>
          <w:highlight w:val="yellow"/>
        </w:rPr>
        <w:t>suçsuzluğumu/eşimin suçsuzluğunu/vasisi olduğum …’ın suçsuzluğunu</w:t>
      </w:r>
      <w:r w:rsidRPr="00B84193">
        <w:rPr>
          <w:rFonts w:ascii="Palatino Linotype" w:hAnsi="Palatino Linotype" w:cs="Times New Roman"/>
          <w:bCs/>
        </w:rPr>
        <w:t xml:space="preserve"> kanıtlayacak belge, bilgi ve talepler gerekçeli kararda karşılanmamıştır</w:t>
      </w:r>
      <w:r>
        <w:rPr>
          <w:rFonts w:ascii="Palatino Linotype" w:hAnsi="Palatino Linotype" w:cs="Times New Roman"/>
          <w:bCs/>
        </w:rPr>
        <w:t>.</w:t>
      </w:r>
    </w:p>
    <w:p w14:paraId="1EED25EB" w14:textId="310B2444" w:rsidR="00B84193" w:rsidRDefault="00B84193" w:rsidP="00B84193">
      <w:pPr>
        <w:pStyle w:val="ListeParagraf"/>
        <w:numPr>
          <w:ilvl w:val="0"/>
          <w:numId w:val="2"/>
        </w:numPr>
        <w:tabs>
          <w:tab w:val="left" w:pos="3870"/>
        </w:tabs>
        <w:spacing w:line="360" w:lineRule="auto"/>
        <w:ind w:left="567" w:right="-378" w:hanging="567"/>
        <w:jc w:val="both"/>
        <w:rPr>
          <w:rFonts w:ascii="Palatino Linotype" w:hAnsi="Palatino Linotype" w:cs="Times New Roman"/>
          <w:bCs/>
        </w:rPr>
      </w:pPr>
      <w:r w:rsidRPr="00B84193">
        <w:rPr>
          <w:rFonts w:ascii="Palatino Linotype" w:hAnsi="Palatino Linotype" w:cs="Times New Roman"/>
          <w:bCs/>
        </w:rPr>
        <w:t>Yukarıda arz edilen nedenlerle; maddi ve hukuki delillerin değerlendirilmesinde yanlışlıklar olduğu</w:t>
      </w:r>
      <w:r>
        <w:rPr>
          <w:rFonts w:ascii="Palatino Linotype" w:hAnsi="Palatino Linotype" w:cs="Times New Roman"/>
          <w:bCs/>
        </w:rPr>
        <w:t xml:space="preserve"> düşünüldüğünden</w:t>
      </w:r>
      <w:r w:rsidRPr="00B84193">
        <w:rPr>
          <w:rFonts w:ascii="Palatino Linotype" w:hAnsi="Palatino Linotype" w:cs="Times New Roman"/>
          <w:bCs/>
        </w:rPr>
        <w:t>, onama kararının düzeltilmesi için başvurma zorunluluğu</w:t>
      </w:r>
      <w:r>
        <w:rPr>
          <w:rFonts w:ascii="Palatino Linotype" w:hAnsi="Palatino Linotype" w:cs="Times New Roman"/>
          <w:bCs/>
        </w:rPr>
        <w:t xml:space="preserve"> hasıl olmuştur.</w:t>
      </w:r>
    </w:p>
    <w:p w14:paraId="715BB9B0" w14:textId="2D6F381E" w:rsidR="00B84193" w:rsidRDefault="00B84193" w:rsidP="00B84193">
      <w:pPr>
        <w:pStyle w:val="ListeParagraf"/>
        <w:numPr>
          <w:ilvl w:val="0"/>
          <w:numId w:val="2"/>
        </w:numPr>
        <w:tabs>
          <w:tab w:val="left" w:pos="3870"/>
        </w:tabs>
        <w:spacing w:line="360" w:lineRule="auto"/>
        <w:ind w:left="567" w:right="-378" w:hanging="567"/>
        <w:jc w:val="both"/>
        <w:rPr>
          <w:rFonts w:ascii="Palatino Linotype" w:hAnsi="Palatino Linotype" w:cs="Times New Roman"/>
          <w:bCs/>
        </w:rPr>
      </w:pPr>
      <w:r>
        <w:rPr>
          <w:rFonts w:ascii="Palatino Linotype" w:hAnsi="Palatino Linotype" w:cs="Times New Roman"/>
          <w:bCs/>
        </w:rPr>
        <w:t>G</w:t>
      </w:r>
      <w:r w:rsidRPr="00B84193">
        <w:rPr>
          <w:rFonts w:ascii="Palatino Linotype" w:hAnsi="Palatino Linotype" w:cs="Times New Roman"/>
          <w:bCs/>
        </w:rPr>
        <w:t xml:space="preserve">erek soruşturma </w:t>
      </w:r>
      <w:r>
        <w:rPr>
          <w:rFonts w:ascii="Palatino Linotype" w:hAnsi="Palatino Linotype" w:cs="Times New Roman"/>
          <w:bCs/>
        </w:rPr>
        <w:t xml:space="preserve">ve </w:t>
      </w:r>
      <w:r w:rsidRPr="00B84193">
        <w:rPr>
          <w:rFonts w:ascii="Palatino Linotype" w:hAnsi="Palatino Linotype" w:cs="Times New Roman"/>
          <w:bCs/>
        </w:rPr>
        <w:t>gerekse</w:t>
      </w:r>
      <w:r>
        <w:rPr>
          <w:rFonts w:ascii="Palatino Linotype" w:hAnsi="Palatino Linotype" w:cs="Times New Roman"/>
          <w:bCs/>
        </w:rPr>
        <w:t xml:space="preserve"> de</w:t>
      </w:r>
      <w:r w:rsidRPr="00B84193">
        <w:rPr>
          <w:rFonts w:ascii="Palatino Linotype" w:hAnsi="Palatino Linotype" w:cs="Times New Roman"/>
          <w:bCs/>
        </w:rPr>
        <w:t xml:space="preserve"> yargılama aşamasında yapılmış olan savunmalar ile </w:t>
      </w:r>
      <w:r>
        <w:rPr>
          <w:rFonts w:ascii="Palatino Linotype" w:hAnsi="Palatino Linotype" w:cs="Times New Roman"/>
          <w:bCs/>
        </w:rPr>
        <w:t>i</w:t>
      </w:r>
      <w:r w:rsidRPr="00B84193">
        <w:rPr>
          <w:rFonts w:ascii="Palatino Linotype" w:hAnsi="Palatino Linotype" w:cs="Times New Roman"/>
          <w:bCs/>
        </w:rPr>
        <w:t xml:space="preserve">stinaf ve </w:t>
      </w:r>
      <w:r>
        <w:rPr>
          <w:rFonts w:ascii="Palatino Linotype" w:hAnsi="Palatino Linotype" w:cs="Times New Roman"/>
          <w:bCs/>
        </w:rPr>
        <w:t>t</w:t>
      </w:r>
      <w:r w:rsidRPr="00B84193">
        <w:rPr>
          <w:rFonts w:ascii="Palatino Linotype" w:hAnsi="Palatino Linotype" w:cs="Times New Roman"/>
          <w:bCs/>
        </w:rPr>
        <w:t>emyiz dilekçelerinde yargılamanın esasına ve usulüne yönelik olarak dile getirilen itirazları aynen tekrar eder önceki tüm savunma ve yazılı dilekçelerin iş bu dilekçe ile birlikte dikkate alınmasını talep ederiz.</w:t>
      </w:r>
    </w:p>
    <w:p w14:paraId="14A12F4B" w14:textId="253918F4" w:rsidR="00B84193" w:rsidRPr="00B84193" w:rsidRDefault="00B84193" w:rsidP="00B84193">
      <w:pPr>
        <w:pStyle w:val="ListeParagraf"/>
        <w:numPr>
          <w:ilvl w:val="0"/>
          <w:numId w:val="2"/>
        </w:numPr>
        <w:tabs>
          <w:tab w:val="left" w:pos="3870"/>
        </w:tabs>
        <w:spacing w:line="360" w:lineRule="auto"/>
        <w:ind w:left="567" w:right="-378" w:hanging="567"/>
        <w:jc w:val="both"/>
        <w:rPr>
          <w:rFonts w:ascii="Palatino Linotype" w:hAnsi="Palatino Linotype" w:cs="Times New Roman"/>
          <w:bCs/>
        </w:rPr>
      </w:pPr>
      <w:r w:rsidRPr="00B84193">
        <w:rPr>
          <w:rFonts w:ascii="Palatino Linotype" w:hAnsi="Palatino Linotype" w:cs="Times New Roman"/>
          <w:bCs/>
          <w:highlight w:val="yellow"/>
        </w:rPr>
        <w:t>Şahsıma/eşime/vasisi olduğum …’a</w:t>
      </w:r>
      <w:r w:rsidRPr="00B84193">
        <w:rPr>
          <w:rFonts w:ascii="Palatino Linotype" w:hAnsi="Palatino Linotype" w:cs="Times New Roman"/>
          <w:bCs/>
        </w:rPr>
        <w:t xml:space="preserve"> isnat </w:t>
      </w:r>
      <w:r>
        <w:rPr>
          <w:rFonts w:ascii="Palatino Linotype" w:hAnsi="Palatino Linotype" w:cs="Times New Roman"/>
          <w:bCs/>
        </w:rPr>
        <w:t>edilen</w:t>
      </w:r>
      <w:r w:rsidRPr="00B84193">
        <w:rPr>
          <w:rFonts w:ascii="Palatino Linotype" w:hAnsi="Palatino Linotype" w:cs="Times New Roman"/>
          <w:bCs/>
        </w:rPr>
        <w:t xml:space="preserve"> silahlı terör örgütüne </w:t>
      </w:r>
      <w:r w:rsidRPr="00B84193">
        <w:rPr>
          <w:rFonts w:ascii="Palatino Linotype" w:hAnsi="Palatino Linotype" w:cs="Times New Roman"/>
          <w:bCs/>
          <w:highlight w:val="yellow"/>
        </w:rPr>
        <w:t>üyelik/yardım</w:t>
      </w:r>
      <w:r w:rsidRPr="00B84193">
        <w:rPr>
          <w:rFonts w:ascii="Palatino Linotype" w:hAnsi="Palatino Linotype" w:cs="Times New Roman"/>
          <w:bCs/>
        </w:rPr>
        <w:t xml:space="preserve"> suçunun yasal unsurları oluşmamıştır. Zira yerel mahkemenin kendi belirlediği kriterlere göre dahi isnat edilen eylemler yargılama sırasında eksik incelenmiş</w:t>
      </w:r>
      <w:r>
        <w:rPr>
          <w:rFonts w:ascii="Palatino Linotype" w:hAnsi="Palatino Linotype" w:cs="Times New Roman"/>
          <w:bCs/>
        </w:rPr>
        <w:t xml:space="preserve"> ve yeterince</w:t>
      </w:r>
      <w:r w:rsidRPr="00B84193">
        <w:rPr>
          <w:rFonts w:ascii="Palatino Linotype" w:hAnsi="Palatino Linotype" w:cs="Times New Roman"/>
          <w:bCs/>
        </w:rPr>
        <w:t xml:space="preserve"> araştırılmamıştır. İstinaf ve temyiz aşamalarında da üst yargı m</w:t>
      </w:r>
      <w:r>
        <w:rPr>
          <w:rFonts w:ascii="Palatino Linotype" w:hAnsi="Palatino Linotype" w:cs="Times New Roman"/>
          <w:bCs/>
        </w:rPr>
        <w:t>ercileri</w:t>
      </w:r>
      <w:r w:rsidRPr="00B84193">
        <w:rPr>
          <w:rFonts w:ascii="Palatino Linotype" w:hAnsi="Palatino Linotype" w:cs="Times New Roman"/>
          <w:bCs/>
        </w:rPr>
        <w:t xml:space="preserve"> tarafından şablon re</w:t>
      </w:r>
      <w:r>
        <w:rPr>
          <w:rFonts w:ascii="Palatino Linotype" w:hAnsi="Palatino Linotype" w:cs="Times New Roman"/>
          <w:bCs/>
        </w:rPr>
        <w:t>t</w:t>
      </w:r>
      <w:r w:rsidRPr="00B84193">
        <w:rPr>
          <w:rFonts w:ascii="Palatino Linotype" w:hAnsi="Palatino Linotype" w:cs="Times New Roman"/>
          <w:bCs/>
        </w:rPr>
        <w:t xml:space="preserve"> ve onama kararları verilmiştir. </w:t>
      </w:r>
      <w:r>
        <w:rPr>
          <w:rFonts w:ascii="Palatino Linotype" w:hAnsi="Palatino Linotype" w:cs="Times New Roman"/>
          <w:bCs/>
        </w:rPr>
        <w:t>Y</w:t>
      </w:r>
      <w:r w:rsidRPr="00B84193">
        <w:rPr>
          <w:rFonts w:ascii="Palatino Linotype" w:hAnsi="Palatino Linotype" w:cs="Times New Roman"/>
          <w:bCs/>
        </w:rPr>
        <w:t>erel mahkemenin mahkumiyete esas aldığı bu kriterler</w:t>
      </w:r>
      <w:r>
        <w:rPr>
          <w:rFonts w:ascii="Palatino Linotype" w:hAnsi="Palatino Linotype" w:cs="Times New Roman"/>
          <w:bCs/>
        </w:rPr>
        <w:t>in suçun unsuru yerine ikame edilerek cezalandırmaya gerekçe yapılmasının</w:t>
      </w:r>
      <w:r w:rsidRPr="00B84193">
        <w:rPr>
          <w:rFonts w:ascii="Palatino Linotype" w:hAnsi="Palatino Linotype" w:cs="Times New Roman"/>
          <w:bCs/>
        </w:rPr>
        <w:t xml:space="preserve"> </w:t>
      </w:r>
      <w:r w:rsidRPr="00B84193">
        <w:rPr>
          <w:rFonts w:ascii="Palatino Linotype" w:hAnsi="Palatino Linotype" w:cs="Times New Roman"/>
          <w:bCs/>
          <w:i/>
          <w:iCs/>
        </w:rPr>
        <w:t>"kanunsuz suç ve ceza olmaz</w:t>
      </w:r>
      <w:r w:rsidRPr="00B84193">
        <w:rPr>
          <w:rFonts w:ascii="Palatino Linotype" w:hAnsi="Palatino Linotype" w:cs="Times New Roman"/>
          <w:bCs/>
        </w:rPr>
        <w:t>" ilkesi</w:t>
      </w:r>
      <w:r>
        <w:rPr>
          <w:rFonts w:ascii="Palatino Linotype" w:hAnsi="Palatino Linotype" w:cs="Times New Roman"/>
          <w:bCs/>
        </w:rPr>
        <w:t>nin ihlali olduğu</w:t>
      </w:r>
      <w:r w:rsidRPr="00B84193">
        <w:rPr>
          <w:rFonts w:ascii="Palatino Linotype" w:hAnsi="Palatino Linotype" w:cs="Times New Roman"/>
          <w:bCs/>
        </w:rPr>
        <w:t xml:space="preserve"> AİHM'in 26</w:t>
      </w:r>
      <w:r>
        <w:rPr>
          <w:rFonts w:ascii="Palatino Linotype" w:hAnsi="Palatino Linotype" w:cs="Times New Roman"/>
          <w:bCs/>
        </w:rPr>
        <w:t>/9/</w:t>
      </w:r>
      <w:r w:rsidRPr="00B84193">
        <w:rPr>
          <w:rFonts w:ascii="Palatino Linotype" w:hAnsi="Palatino Linotype" w:cs="Times New Roman"/>
          <w:bCs/>
        </w:rPr>
        <w:t>2023 tarihinde açıkladığı</w:t>
      </w:r>
      <w:r>
        <w:rPr>
          <w:rFonts w:ascii="Palatino Linotype" w:hAnsi="Palatino Linotype" w:cs="Times New Roman"/>
          <w:bCs/>
        </w:rPr>
        <w:t xml:space="preserve"> Yüksel </w:t>
      </w:r>
      <w:r w:rsidRPr="00B84193">
        <w:rPr>
          <w:rFonts w:ascii="Palatino Linotype" w:hAnsi="Palatino Linotype" w:cs="Times New Roman"/>
          <w:bCs/>
        </w:rPr>
        <w:t>Yalçınkaya</w:t>
      </w:r>
      <w:r>
        <w:rPr>
          <w:rFonts w:ascii="Palatino Linotype" w:hAnsi="Palatino Linotype" w:cs="Times New Roman"/>
          <w:bCs/>
        </w:rPr>
        <w:t>/</w:t>
      </w:r>
      <w:r w:rsidRPr="00B84193">
        <w:rPr>
          <w:rFonts w:ascii="Palatino Linotype" w:hAnsi="Palatino Linotype" w:cs="Times New Roman"/>
          <w:bCs/>
        </w:rPr>
        <w:t xml:space="preserve">Türkiye kararında özellikle vurgulanmıştır. </w:t>
      </w:r>
      <w:r>
        <w:rPr>
          <w:rFonts w:ascii="Palatino Linotype" w:hAnsi="Palatino Linotype" w:cs="Times New Roman"/>
          <w:bCs/>
        </w:rPr>
        <w:t>E</w:t>
      </w:r>
      <w:r w:rsidRPr="00B84193">
        <w:rPr>
          <w:rFonts w:ascii="Palatino Linotype" w:hAnsi="Palatino Linotype" w:cs="Times New Roman"/>
          <w:bCs/>
        </w:rPr>
        <w:t>ksik inceleme</w:t>
      </w:r>
      <w:r>
        <w:rPr>
          <w:rFonts w:ascii="Palatino Linotype" w:hAnsi="Palatino Linotype" w:cs="Times New Roman"/>
          <w:bCs/>
        </w:rPr>
        <w:t>yle</w:t>
      </w:r>
      <w:r w:rsidRPr="00B84193">
        <w:rPr>
          <w:rFonts w:ascii="Palatino Linotype" w:hAnsi="Palatino Linotype" w:cs="Times New Roman"/>
          <w:bCs/>
        </w:rPr>
        <w:t xml:space="preserve"> karar veril</w:t>
      </w:r>
      <w:r>
        <w:rPr>
          <w:rFonts w:ascii="Palatino Linotype" w:hAnsi="Palatino Linotype" w:cs="Times New Roman"/>
          <w:bCs/>
        </w:rPr>
        <w:t>mesinin</w:t>
      </w:r>
      <w:r w:rsidRPr="00B84193">
        <w:rPr>
          <w:rFonts w:ascii="Palatino Linotype" w:hAnsi="Palatino Linotype" w:cs="Times New Roman"/>
          <w:bCs/>
        </w:rPr>
        <w:t xml:space="preserve"> yanı sıra</w:t>
      </w:r>
      <w:r>
        <w:rPr>
          <w:rFonts w:ascii="Palatino Linotype" w:hAnsi="Palatino Linotype" w:cs="Times New Roman"/>
          <w:bCs/>
        </w:rPr>
        <w:t xml:space="preserve">, isnat edilen suçlama ve delillerin aynı olduğu </w:t>
      </w:r>
      <w:r w:rsidRPr="00B84193">
        <w:rPr>
          <w:rFonts w:ascii="Palatino Linotype" w:hAnsi="Palatino Linotype" w:cs="Times New Roman"/>
          <w:bCs/>
        </w:rPr>
        <w:t>AİHM</w:t>
      </w:r>
      <w:r>
        <w:rPr>
          <w:rFonts w:ascii="Palatino Linotype" w:hAnsi="Palatino Linotype" w:cs="Times New Roman"/>
          <w:bCs/>
        </w:rPr>
        <w:t xml:space="preserve">’in </w:t>
      </w:r>
      <w:r w:rsidRPr="00B84193">
        <w:rPr>
          <w:rFonts w:ascii="Palatino Linotype" w:hAnsi="Palatino Linotype" w:cs="Times New Roman"/>
          <w:bCs/>
        </w:rPr>
        <w:t>Yalçınkaya kararında</w:t>
      </w:r>
      <w:r>
        <w:rPr>
          <w:rFonts w:ascii="Palatino Linotype" w:hAnsi="Palatino Linotype" w:cs="Times New Roman"/>
          <w:bCs/>
        </w:rPr>
        <w:t xml:space="preserve"> da belirtildiği üzere,</w:t>
      </w:r>
      <w:r w:rsidRPr="00B84193">
        <w:rPr>
          <w:rFonts w:ascii="Palatino Linotype" w:hAnsi="Palatino Linotype" w:cs="Times New Roman"/>
          <w:bCs/>
        </w:rPr>
        <w:t xml:space="preserve"> yargılama boyunca yapılan itirazlara tatmin edici hiçbir yanıt verilme</w:t>
      </w:r>
      <w:r>
        <w:rPr>
          <w:rFonts w:ascii="Palatino Linotype" w:hAnsi="Palatino Linotype" w:cs="Times New Roman"/>
          <w:bCs/>
        </w:rPr>
        <w:t>mesi</w:t>
      </w:r>
      <w:r w:rsidRPr="00B84193">
        <w:rPr>
          <w:rFonts w:ascii="Palatino Linotype" w:hAnsi="Palatino Linotype" w:cs="Times New Roman"/>
          <w:bCs/>
        </w:rPr>
        <w:t xml:space="preserve"> çelişmeli yargılama ve özellikle </w:t>
      </w:r>
      <w:r>
        <w:rPr>
          <w:rFonts w:ascii="Palatino Linotype" w:hAnsi="Palatino Linotype" w:cs="Times New Roman"/>
          <w:bCs/>
        </w:rPr>
        <w:t xml:space="preserve">de </w:t>
      </w:r>
      <w:r w:rsidRPr="00B84193">
        <w:rPr>
          <w:rFonts w:ascii="Palatino Linotype" w:hAnsi="Palatino Linotype" w:cs="Times New Roman"/>
          <w:bCs/>
        </w:rPr>
        <w:t>silahların eşitliği ilke</w:t>
      </w:r>
      <w:r>
        <w:rPr>
          <w:rFonts w:ascii="Palatino Linotype" w:hAnsi="Palatino Linotype" w:cs="Times New Roman"/>
          <w:bCs/>
        </w:rPr>
        <w:t>lerinin ve d</w:t>
      </w:r>
      <w:r w:rsidRPr="00B84193">
        <w:rPr>
          <w:rFonts w:ascii="Palatino Linotype" w:hAnsi="Palatino Linotype" w:cs="Times New Roman"/>
          <w:bCs/>
        </w:rPr>
        <w:t xml:space="preserve">olayısıyla </w:t>
      </w:r>
      <w:r w:rsidRPr="00B84193">
        <w:rPr>
          <w:rFonts w:ascii="Palatino Linotype" w:hAnsi="Palatino Linotype" w:cs="Times New Roman"/>
          <w:bCs/>
          <w:i/>
          <w:iCs/>
        </w:rPr>
        <w:t>"adil yargılanma hakkının</w:t>
      </w:r>
      <w:r>
        <w:rPr>
          <w:rFonts w:ascii="Palatino Linotype" w:hAnsi="Palatino Linotype" w:cs="Times New Roman"/>
          <w:bCs/>
        </w:rPr>
        <w:t>”</w:t>
      </w:r>
      <w:r w:rsidRPr="00B84193">
        <w:rPr>
          <w:rFonts w:ascii="Palatino Linotype" w:hAnsi="Palatino Linotype" w:cs="Times New Roman"/>
          <w:bCs/>
        </w:rPr>
        <w:t xml:space="preserve"> ihlal</w:t>
      </w:r>
      <w:r>
        <w:rPr>
          <w:rFonts w:ascii="Palatino Linotype" w:hAnsi="Palatino Linotype" w:cs="Times New Roman"/>
          <w:bCs/>
        </w:rPr>
        <w:t>i sebebidir</w:t>
      </w:r>
      <w:r w:rsidRPr="00B84193">
        <w:rPr>
          <w:rFonts w:ascii="Palatino Linotype" w:hAnsi="Palatino Linotype" w:cs="Times New Roman"/>
          <w:bCs/>
        </w:rPr>
        <w:t xml:space="preserve">. </w:t>
      </w:r>
    </w:p>
    <w:p w14:paraId="146C109D" w14:textId="53945FC1" w:rsidR="00B84193" w:rsidRDefault="00B84193" w:rsidP="00B84193">
      <w:pPr>
        <w:pStyle w:val="ListeParagraf"/>
        <w:numPr>
          <w:ilvl w:val="0"/>
          <w:numId w:val="2"/>
        </w:numPr>
        <w:tabs>
          <w:tab w:val="left" w:pos="3870"/>
        </w:tabs>
        <w:spacing w:line="360" w:lineRule="auto"/>
        <w:ind w:left="567" w:right="-378" w:hanging="567"/>
        <w:jc w:val="both"/>
        <w:rPr>
          <w:rFonts w:ascii="Palatino Linotype" w:hAnsi="Palatino Linotype" w:cs="Times New Roman"/>
          <w:bCs/>
        </w:rPr>
      </w:pPr>
      <w:r w:rsidRPr="00B84193">
        <w:rPr>
          <w:rFonts w:ascii="Palatino Linotype" w:hAnsi="Palatino Linotype" w:cs="Times New Roman"/>
          <w:bCs/>
        </w:rPr>
        <w:t xml:space="preserve">Karar </w:t>
      </w:r>
      <w:r>
        <w:rPr>
          <w:rFonts w:ascii="Palatino Linotype" w:hAnsi="Palatino Linotype" w:cs="Times New Roman"/>
          <w:bCs/>
        </w:rPr>
        <w:t>d</w:t>
      </w:r>
      <w:r w:rsidRPr="00B84193">
        <w:rPr>
          <w:rFonts w:ascii="Palatino Linotype" w:hAnsi="Palatino Linotype" w:cs="Times New Roman"/>
          <w:bCs/>
        </w:rPr>
        <w:t xml:space="preserve">üzeltme </w:t>
      </w:r>
      <w:r>
        <w:rPr>
          <w:rFonts w:ascii="Palatino Linotype" w:hAnsi="Palatino Linotype" w:cs="Times New Roman"/>
          <w:bCs/>
        </w:rPr>
        <w:t>d</w:t>
      </w:r>
      <w:r w:rsidRPr="00B84193">
        <w:rPr>
          <w:rFonts w:ascii="Palatino Linotype" w:hAnsi="Palatino Linotype" w:cs="Times New Roman"/>
          <w:bCs/>
        </w:rPr>
        <w:t>ilekçe</w:t>
      </w:r>
      <w:r>
        <w:rPr>
          <w:rFonts w:ascii="Palatino Linotype" w:hAnsi="Palatino Linotype" w:cs="Times New Roman"/>
          <w:bCs/>
        </w:rPr>
        <w:t>sinin</w:t>
      </w:r>
      <w:r w:rsidRPr="00B84193">
        <w:rPr>
          <w:rFonts w:ascii="Palatino Linotype" w:hAnsi="Palatino Linotype" w:cs="Times New Roman"/>
          <w:bCs/>
        </w:rPr>
        <w:t xml:space="preserve"> dayanağını oluşturan Yalçınkaya</w:t>
      </w:r>
      <w:r>
        <w:rPr>
          <w:rFonts w:ascii="Palatino Linotype" w:hAnsi="Palatino Linotype" w:cs="Times New Roman"/>
          <w:bCs/>
        </w:rPr>
        <w:t>/</w:t>
      </w:r>
      <w:r w:rsidRPr="00B84193">
        <w:rPr>
          <w:rFonts w:ascii="Palatino Linotype" w:hAnsi="Palatino Linotype" w:cs="Times New Roman"/>
          <w:bCs/>
        </w:rPr>
        <w:t>Türkiye kararında AİHM’nin önemle vurguladığ</w:t>
      </w:r>
      <w:r>
        <w:rPr>
          <w:rFonts w:ascii="Palatino Linotype" w:hAnsi="Palatino Linotype" w:cs="Times New Roman"/>
          <w:bCs/>
        </w:rPr>
        <w:t>ı ve</w:t>
      </w:r>
      <w:r w:rsidRPr="00B84193">
        <w:rPr>
          <w:rFonts w:ascii="Palatino Linotype" w:hAnsi="Palatino Linotype" w:cs="Times New Roman"/>
          <w:bCs/>
        </w:rPr>
        <w:t xml:space="preserve"> ihlal tespit</w:t>
      </w:r>
      <w:r>
        <w:rPr>
          <w:rFonts w:ascii="Palatino Linotype" w:hAnsi="Palatino Linotype" w:cs="Times New Roman"/>
          <w:bCs/>
        </w:rPr>
        <w:t xml:space="preserve"> ettiği hususlara</w:t>
      </w:r>
      <w:r w:rsidRPr="00B84193">
        <w:rPr>
          <w:rFonts w:ascii="Palatino Linotype" w:hAnsi="Palatino Linotype" w:cs="Times New Roman"/>
          <w:bCs/>
        </w:rPr>
        <w:t xml:space="preserve"> kısaca değinilmesinde fayda </w:t>
      </w:r>
      <w:r>
        <w:rPr>
          <w:rFonts w:ascii="Palatino Linotype" w:hAnsi="Palatino Linotype" w:cs="Times New Roman"/>
          <w:bCs/>
        </w:rPr>
        <w:t>vardır</w:t>
      </w:r>
      <w:r w:rsidRPr="00B84193">
        <w:rPr>
          <w:rFonts w:ascii="Palatino Linotype" w:hAnsi="Palatino Linotype" w:cs="Times New Roman"/>
          <w:bCs/>
        </w:rPr>
        <w:t>.</w:t>
      </w:r>
    </w:p>
    <w:p w14:paraId="1FA142D1" w14:textId="2538B240" w:rsidR="00F83122" w:rsidRPr="00C47AC0" w:rsidRDefault="003A6719" w:rsidP="00C61BA4">
      <w:pPr>
        <w:tabs>
          <w:tab w:val="left" w:pos="3870"/>
        </w:tabs>
        <w:spacing w:line="360" w:lineRule="auto"/>
        <w:ind w:right="-378"/>
        <w:jc w:val="both"/>
        <w:rPr>
          <w:rFonts w:ascii="Palatino Linotype" w:hAnsi="Palatino Linotype" w:cs="Times New Roman"/>
          <w:b/>
        </w:rPr>
      </w:pPr>
      <w:r w:rsidRPr="00C47AC0">
        <w:rPr>
          <w:rFonts w:ascii="Palatino Linotype" w:hAnsi="Palatino Linotype" w:cs="Times New Roman"/>
          <w:b/>
        </w:rPr>
        <w:t xml:space="preserve">II. </w:t>
      </w:r>
      <w:r w:rsidR="00F508CA" w:rsidRPr="00C47AC0">
        <w:rPr>
          <w:rFonts w:ascii="Palatino Linotype" w:hAnsi="Palatino Linotype" w:cs="Times New Roman"/>
          <w:b/>
        </w:rPr>
        <w:t>Talebimize Konu Olay</w:t>
      </w:r>
      <w:r w:rsidR="00B84193">
        <w:rPr>
          <w:rFonts w:ascii="Palatino Linotype" w:hAnsi="Palatino Linotype" w:cs="Times New Roman"/>
          <w:b/>
        </w:rPr>
        <w:t xml:space="preserve"> (Yalçınkaya/Türkiye Kararı)</w:t>
      </w:r>
    </w:p>
    <w:p w14:paraId="7E37E5DB" w14:textId="1AD510F2" w:rsidR="0000402A" w:rsidRPr="00C47AC0" w:rsidRDefault="0000402A"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 xml:space="preserve">Avrupa İnsan Hakları Mahkemesi 26 Eylül 2023 tarihinde </w:t>
      </w:r>
      <w:r w:rsidR="009C6702">
        <w:rPr>
          <w:rFonts w:ascii="Palatino Linotype" w:hAnsi="Palatino Linotype" w:cs="Times New Roman"/>
          <w:bCs/>
        </w:rPr>
        <w:t>benimle</w:t>
      </w:r>
      <w:r w:rsidRPr="00C47AC0">
        <w:rPr>
          <w:rFonts w:ascii="Palatino Linotype" w:hAnsi="Palatino Linotype" w:cs="Times New Roman"/>
          <w:bCs/>
        </w:rPr>
        <w:t xml:space="preserve"> aynı suçlamaya maruz kalmış, </w:t>
      </w:r>
      <w:r w:rsidR="00681B83" w:rsidRPr="00C47AC0">
        <w:rPr>
          <w:rFonts w:ascii="Palatino Linotype" w:hAnsi="Palatino Linotype" w:cs="Times New Roman"/>
          <w:bCs/>
        </w:rPr>
        <w:t xml:space="preserve">benzer </w:t>
      </w:r>
      <w:r w:rsidRPr="00C47AC0">
        <w:rPr>
          <w:rFonts w:ascii="Palatino Linotype" w:hAnsi="Palatino Linotype" w:cs="Times New Roman"/>
          <w:bCs/>
        </w:rPr>
        <w:t>deliller</w:t>
      </w:r>
      <w:r w:rsidR="00681B83" w:rsidRPr="00C47AC0">
        <w:rPr>
          <w:rFonts w:ascii="Palatino Linotype" w:hAnsi="Palatino Linotype" w:cs="Times New Roman"/>
          <w:bCs/>
        </w:rPr>
        <w:t>le</w:t>
      </w:r>
      <w:r w:rsidRPr="00C47AC0">
        <w:rPr>
          <w:rFonts w:ascii="Palatino Linotype" w:hAnsi="Palatino Linotype" w:cs="Times New Roman"/>
          <w:bCs/>
        </w:rPr>
        <w:t xml:space="preserve"> mahkum olmuş ve hakkındaki karar kesinleşmiş olan Yüksel Yalçınkaya başvurusunda temel hak ihlali tespiti yapmıştır.</w:t>
      </w:r>
    </w:p>
    <w:p w14:paraId="381325A8" w14:textId="6118C5D5" w:rsidR="0006254E" w:rsidRPr="00C47AC0" w:rsidRDefault="0000402A"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lastRenderedPageBreak/>
        <w:t>Davayı Büyük Daire incelemiş ve kesin karar vermiştir.</w:t>
      </w:r>
      <w:r w:rsidR="0006254E" w:rsidRPr="00C47AC0">
        <w:rPr>
          <w:rFonts w:ascii="Palatino Linotype" w:hAnsi="Palatino Linotype" w:cs="Times New Roman"/>
          <w:bCs/>
        </w:rPr>
        <w:t xml:space="preserve"> Bu dava diğer benzer davalara örnek</w:t>
      </w:r>
      <w:r w:rsidR="00B928E8" w:rsidRPr="00C47AC0">
        <w:rPr>
          <w:rFonts w:ascii="Palatino Linotype" w:hAnsi="Palatino Linotype" w:cs="Times New Roman"/>
          <w:bCs/>
        </w:rPr>
        <w:t>/öncü</w:t>
      </w:r>
      <w:r w:rsidR="0006254E" w:rsidRPr="00C47AC0">
        <w:rPr>
          <w:rFonts w:ascii="Palatino Linotype" w:hAnsi="Palatino Linotype" w:cs="Times New Roman"/>
          <w:bCs/>
        </w:rPr>
        <w:t xml:space="preserve"> teşkil etmesi amacıyla </w:t>
      </w:r>
      <w:r w:rsidR="0006254E" w:rsidRPr="00C47AC0">
        <w:rPr>
          <w:rFonts w:ascii="Palatino Linotype" w:hAnsi="Palatino Linotype" w:cs="Times New Roman"/>
          <w:bCs/>
          <w:i/>
          <w:iCs/>
        </w:rPr>
        <w:t>“Leading Case”</w:t>
      </w:r>
      <w:r w:rsidR="0006254E" w:rsidRPr="00C47AC0">
        <w:rPr>
          <w:rFonts w:ascii="Palatino Linotype" w:hAnsi="Palatino Linotype" w:cs="Times New Roman"/>
          <w:bCs/>
        </w:rPr>
        <w:t xml:space="preserve"> dava olarak seçilmiştir. AİHM, bu dava özelinden </w:t>
      </w:r>
      <w:r w:rsidR="00E40DC4" w:rsidRPr="00C47AC0">
        <w:rPr>
          <w:rFonts w:ascii="Palatino Linotype" w:hAnsi="Palatino Linotype" w:cs="Times New Roman"/>
          <w:bCs/>
        </w:rPr>
        <w:t xml:space="preserve">önlerinde </w:t>
      </w:r>
      <w:r w:rsidR="0006254E" w:rsidRPr="00C47AC0">
        <w:rPr>
          <w:rFonts w:ascii="Palatino Linotype" w:hAnsi="Palatino Linotype" w:cs="Times New Roman"/>
          <w:bCs/>
        </w:rPr>
        <w:t>derdest benzer 8000 dava ve Türkiye’de benzer 100</w:t>
      </w:r>
      <w:r w:rsidR="00F508CA" w:rsidRPr="00C47AC0">
        <w:rPr>
          <w:rFonts w:ascii="Palatino Linotype" w:hAnsi="Palatino Linotype" w:cs="Times New Roman"/>
          <w:bCs/>
        </w:rPr>
        <w:t>.</w:t>
      </w:r>
      <w:r w:rsidR="0006254E" w:rsidRPr="00C47AC0">
        <w:rPr>
          <w:rFonts w:ascii="Palatino Linotype" w:hAnsi="Palatino Linotype" w:cs="Times New Roman"/>
          <w:bCs/>
        </w:rPr>
        <w:t>000 dava bulunduğunu, dolayısıyla ortada sistemik bir sorun olduğunu tespit etmiştir.</w:t>
      </w:r>
    </w:p>
    <w:p w14:paraId="5A026F8B" w14:textId="5493B278" w:rsidR="00B928E8" w:rsidRPr="00C47AC0" w:rsidRDefault="0006254E" w:rsidP="00B928E8">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 xml:space="preserve">AİHM, ancak bu sorunun yargılamanın yenilenmesi dahil genel alınacak bir tedbirle çözülebileceğini, aksi halde gelecek her bir benzer başvuruyu bu davada aldığı ilkeler uyarınca sonuçlandıracağını ihtar etmiştir. </w:t>
      </w:r>
      <w:r w:rsidR="00B928E8" w:rsidRPr="00C47AC0">
        <w:rPr>
          <w:rFonts w:ascii="Palatino Linotype" w:hAnsi="Palatino Linotype" w:cs="Times New Roman"/>
          <w:bCs/>
        </w:rPr>
        <w:t>Bu nedenle Mahkeme, gelecekte çok sayıda davada benzer ihlalleri tespit etmek zorunda kalmamak için, mevcut kararda tespit edilen kusurların, ilgili ve mümkün olduğu ölçüde, Türk makamları tarafından daha geniş bir ölçekte - yani mevcut başvuranın özel davasının ötesinde - ele alınması gerektiği</w:t>
      </w:r>
      <w:r w:rsidR="00074124" w:rsidRPr="00C47AC0">
        <w:rPr>
          <w:rFonts w:ascii="Palatino Linotype" w:hAnsi="Palatino Linotype" w:cs="Times New Roman"/>
          <w:bCs/>
        </w:rPr>
        <w:t>ni söylemiştir</w:t>
      </w:r>
      <w:r w:rsidR="00B928E8" w:rsidRPr="00C47AC0">
        <w:rPr>
          <w:rFonts w:ascii="Palatino Linotype" w:hAnsi="Palatino Linotype" w:cs="Times New Roman"/>
          <w:bCs/>
        </w:rPr>
        <w:t xml:space="preserve">. Dolayısıyla, davalı Devlet'in </w:t>
      </w:r>
      <w:r w:rsidR="00074124" w:rsidRPr="00C47AC0">
        <w:rPr>
          <w:rFonts w:ascii="Palatino Linotype" w:hAnsi="Palatino Linotype" w:cs="Times New Roman"/>
          <w:bCs/>
        </w:rPr>
        <w:t xml:space="preserve">yani </w:t>
      </w:r>
      <w:r w:rsidR="00074124" w:rsidRPr="00C47AC0">
        <w:rPr>
          <w:rFonts w:ascii="Palatino Linotype" w:hAnsi="Palatino Linotype" w:cs="Times New Roman"/>
          <w:b/>
        </w:rPr>
        <w:t xml:space="preserve">Türkiye’nin </w:t>
      </w:r>
      <w:r w:rsidR="00B928E8" w:rsidRPr="00C47AC0">
        <w:rPr>
          <w:rFonts w:ascii="Palatino Linotype" w:hAnsi="Palatino Linotype" w:cs="Times New Roman"/>
          <w:b/>
        </w:rPr>
        <w:t>Sözleşme'nin 46. maddesi kapsamındaki yükümlülüklerine uygun olarak, mevcut karardan, özellikle ancak onlarla sınırlı olmamak üzere ulusal mahkemeler önünde görülmekte olan davalara ilişkin olarak gerekli sonuçları çıkarmak ve burada ihlal bulgularına yol açan yukarıda tespit edilen sorunu çözmek için uygun olan diğer genel tedbirleri alması gerekmektedir.</w:t>
      </w:r>
      <w:r w:rsidR="00B928E8" w:rsidRPr="00C47AC0">
        <w:rPr>
          <w:rFonts w:ascii="Palatino Linotype" w:hAnsi="Palatino Linotype" w:cs="Times New Roman"/>
          <w:bCs/>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00B928E8" w:rsidRPr="00C47AC0">
        <w:rPr>
          <w:rFonts w:ascii="Palatino Linotype" w:hAnsi="Palatino Linotype" w:cs="Times New Roman"/>
          <w:bCs/>
        </w:rPr>
        <w:t>418).</w:t>
      </w:r>
    </w:p>
    <w:p w14:paraId="6151EAF0" w14:textId="6AA0D784" w:rsidR="004E3A16" w:rsidRPr="00C47AC0" w:rsidRDefault="0000402A"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 xml:space="preserve"> </w:t>
      </w:r>
      <w:r w:rsidR="009C3F9F" w:rsidRPr="00C47AC0">
        <w:rPr>
          <w:rFonts w:ascii="Palatino Linotype" w:hAnsi="Palatino Linotype" w:cs="Times New Roman"/>
          <w:bCs/>
        </w:rPr>
        <w:t>AİHM kararları</w:t>
      </w:r>
      <w:r w:rsidR="00074124" w:rsidRPr="00C47AC0">
        <w:rPr>
          <w:rFonts w:ascii="Palatino Linotype" w:hAnsi="Palatino Linotype" w:cs="Times New Roman"/>
          <w:bCs/>
        </w:rPr>
        <w:t xml:space="preserve"> AİHS 46 ve AY 90. </w:t>
      </w:r>
      <w:r w:rsidR="00681B83" w:rsidRPr="00C47AC0">
        <w:rPr>
          <w:rFonts w:ascii="Palatino Linotype" w:hAnsi="Palatino Linotype" w:cs="Times New Roman"/>
          <w:bCs/>
        </w:rPr>
        <w:t>m</w:t>
      </w:r>
      <w:r w:rsidR="00074124" w:rsidRPr="00C47AC0">
        <w:rPr>
          <w:rFonts w:ascii="Palatino Linotype" w:hAnsi="Palatino Linotype" w:cs="Times New Roman"/>
          <w:bCs/>
        </w:rPr>
        <w:t>addeler uyarınca Türkiye açısından bağlayıcıdır. Bu hükümler gereğince AİHM kararları (Yalçınkaya kararı gibi olanlar için) kesinleşen ve derdest olan tüm dosyalara uygulanması gerekmektedir.</w:t>
      </w:r>
    </w:p>
    <w:p w14:paraId="2D15CE13" w14:textId="65330E66" w:rsidR="00C61BA4" w:rsidRPr="00C47AC0" w:rsidRDefault="009C6702" w:rsidP="00924F0F">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B84193">
        <w:rPr>
          <w:rFonts w:ascii="Palatino Linotype" w:hAnsi="Palatino Linotype" w:cs="Times New Roman"/>
          <w:bCs/>
          <w:highlight w:val="yellow"/>
        </w:rPr>
        <w:t>D</w:t>
      </w:r>
      <w:r w:rsidR="00D4338F" w:rsidRPr="00B84193">
        <w:rPr>
          <w:rFonts w:ascii="Palatino Linotype" w:hAnsi="Palatino Linotype" w:cs="Times New Roman"/>
          <w:bCs/>
          <w:highlight w:val="yellow"/>
        </w:rPr>
        <w:t>urumu</w:t>
      </w:r>
      <w:r w:rsidRPr="00B84193">
        <w:rPr>
          <w:rFonts w:ascii="Palatino Linotype" w:hAnsi="Palatino Linotype" w:cs="Times New Roman"/>
          <w:bCs/>
          <w:highlight w:val="yellow"/>
        </w:rPr>
        <w:t>m</w:t>
      </w:r>
      <w:r w:rsidR="00B84193" w:rsidRPr="00B84193">
        <w:rPr>
          <w:rFonts w:ascii="Palatino Linotype" w:hAnsi="Palatino Linotype" w:cs="Times New Roman"/>
          <w:bCs/>
          <w:highlight w:val="yellow"/>
        </w:rPr>
        <w:t>/eşimin durumu/vasisi olduğum ….’ın durumu</w:t>
      </w:r>
      <w:r w:rsidR="00D4338F" w:rsidRPr="00C47AC0">
        <w:rPr>
          <w:rFonts w:ascii="Palatino Linotype" w:hAnsi="Palatino Linotype" w:cs="Times New Roman"/>
          <w:bCs/>
        </w:rPr>
        <w:t xml:space="preserve"> AİHM kararına konu olan suçlama ile </w:t>
      </w:r>
      <w:r w:rsidR="00B84193">
        <w:rPr>
          <w:rFonts w:ascii="Palatino Linotype" w:hAnsi="Palatino Linotype" w:cs="Times New Roman"/>
          <w:bCs/>
        </w:rPr>
        <w:t>birebir</w:t>
      </w:r>
      <w:r w:rsidR="00D4338F" w:rsidRPr="00C47AC0">
        <w:rPr>
          <w:rFonts w:ascii="Palatino Linotype" w:hAnsi="Palatino Linotype" w:cs="Times New Roman"/>
          <w:bCs/>
        </w:rPr>
        <w:t xml:space="preserve"> örtüşmektedir. </w:t>
      </w:r>
      <w:r w:rsidRPr="00B84193">
        <w:rPr>
          <w:rFonts w:ascii="Palatino Linotype" w:hAnsi="Palatino Linotype" w:cs="Times New Roman"/>
          <w:bCs/>
          <w:highlight w:val="yellow"/>
        </w:rPr>
        <w:t>Ben de</w:t>
      </w:r>
      <w:r w:rsidR="00B84193" w:rsidRPr="00B84193">
        <w:rPr>
          <w:rFonts w:ascii="Palatino Linotype" w:hAnsi="Palatino Linotype" w:cs="Times New Roman"/>
          <w:bCs/>
          <w:highlight w:val="yellow"/>
        </w:rPr>
        <w:t>/eşim de/vasisi olduğum … da</w:t>
      </w:r>
      <w:r w:rsidR="00D4338F" w:rsidRPr="00B84193">
        <w:rPr>
          <w:rFonts w:ascii="Palatino Linotype" w:hAnsi="Palatino Linotype" w:cs="Times New Roman"/>
          <w:bCs/>
          <w:highlight w:val="yellow"/>
        </w:rPr>
        <w:t>,</w:t>
      </w:r>
      <w:r w:rsidR="00D4338F" w:rsidRPr="00C47AC0">
        <w:rPr>
          <w:rFonts w:ascii="Palatino Linotype" w:hAnsi="Palatino Linotype" w:cs="Times New Roman"/>
          <w:bCs/>
        </w:rPr>
        <w:t xml:space="preserve"> AİHM’in kastettiği sistemik sorunun bir </w:t>
      </w:r>
      <w:r w:rsidR="00D4338F" w:rsidRPr="00B84193">
        <w:rPr>
          <w:rFonts w:ascii="Palatino Linotype" w:hAnsi="Palatino Linotype" w:cs="Times New Roman"/>
          <w:bCs/>
          <w:highlight w:val="yellow"/>
        </w:rPr>
        <w:t>parçası</w:t>
      </w:r>
      <w:r w:rsidRPr="00B84193">
        <w:rPr>
          <w:rFonts w:ascii="Palatino Linotype" w:hAnsi="Palatino Linotype" w:cs="Times New Roman"/>
          <w:bCs/>
          <w:highlight w:val="yellow"/>
        </w:rPr>
        <w:t>yım</w:t>
      </w:r>
      <w:r w:rsidR="00B84193" w:rsidRPr="00B84193">
        <w:rPr>
          <w:rFonts w:ascii="Palatino Linotype" w:hAnsi="Palatino Linotype" w:cs="Times New Roman"/>
          <w:bCs/>
          <w:highlight w:val="yellow"/>
        </w:rPr>
        <w:t>/parçasıdır</w:t>
      </w:r>
      <w:r w:rsidR="00D4338F" w:rsidRPr="00B84193">
        <w:rPr>
          <w:rFonts w:ascii="Palatino Linotype" w:hAnsi="Palatino Linotype" w:cs="Times New Roman"/>
          <w:bCs/>
          <w:highlight w:val="yellow"/>
        </w:rPr>
        <w:t>.</w:t>
      </w:r>
      <w:r w:rsidR="00D4338F" w:rsidRPr="00C47AC0">
        <w:rPr>
          <w:rFonts w:ascii="Palatino Linotype" w:hAnsi="Palatino Linotype" w:cs="Times New Roman"/>
          <w:bCs/>
        </w:rPr>
        <w:t xml:space="preserve"> AİHM, verdiği kararının benzer </w:t>
      </w:r>
      <w:r w:rsidR="004E3A16" w:rsidRPr="00C47AC0">
        <w:rPr>
          <w:rFonts w:ascii="Palatino Linotype" w:hAnsi="Palatino Linotype" w:cs="Times New Roman"/>
          <w:bCs/>
        </w:rPr>
        <w:t xml:space="preserve">derdest </w:t>
      </w:r>
      <w:r w:rsidR="00D4338F" w:rsidRPr="00C47AC0">
        <w:rPr>
          <w:rFonts w:ascii="Palatino Linotype" w:hAnsi="Palatino Linotype" w:cs="Times New Roman"/>
          <w:bCs/>
        </w:rPr>
        <w:t>dosyalara</w:t>
      </w:r>
      <w:r w:rsidR="004E3A16" w:rsidRPr="00C47AC0">
        <w:rPr>
          <w:rFonts w:ascii="Palatino Linotype" w:hAnsi="Palatino Linotype" w:cs="Times New Roman"/>
          <w:bCs/>
        </w:rPr>
        <w:t xml:space="preserve"> ve</w:t>
      </w:r>
      <w:r w:rsidR="00D4338F" w:rsidRPr="00C47AC0">
        <w:rPr>
          <w:rFonts w:ascii="Palatino Linotype" w:hAnsi="Palatino Linotype" w:cs="Times New Roman"/>
          <w:bCs/>
        </w:rPr>
        <w:t xml:space="preserve"> kesinleşen kararlara da uygulanmasını ve </w:t>
      </w:r>
      <w:r w:rsidR="004E3A16" w:rsidRPr="00C47AC0">
        <w:rPr>
          <w:rFonts w:ascii="Palatino Linotype" w:hAnsi="Palatino Linotype" w:cs="Times New Roman"/>
          <w:bCs/>
        </w:rPr>
        <w:t>sistemik problemleri</w:t>
      </w:r>
      <w:r w:rsidR="00F508CA" w:rsidRPr="00C47AC0">
        <w:rPr>
          <w:rFonts w:ascii="Palatino Linotype" w:hAnsi="Palatino Linotype" w:cs="Times New Roman"/>
          <w:bCs/>
        </w:rPr>
        <w:t>n</w:t>
      </w:r>
      <w:r w:rsidR="004E3A16" w:rsidRPr="00C47AC0">
        <w:rPr>
          <w:rFonts w:ascii="Palatino Linotype" w:hAnsi="Palatino Linotype" w:cs="Times New Roman"/>
          <w:bCs/>
        </w:rPr>
        <w:t xml:space="preserve"> giderilmesini</w:t>
      </w:r>
      <w:r w:rsidR="00D4338F" w:rsidRPr="00C47AC0">
        <w:rPr>
          <w:rFonts w:ascii="Palatino Linotype" w:hAnsi="Palatino Linotype" w:cs="Times New Roman"/>
          <w:bCs/>
        </w:rPr>
        <w:t xml:space="preserve"> istemiştir. </w:t>
      </w:r>
      <w:r w:rsidR="00CD76E1" w:rsidRPr="00C47AC0">
        <w:rPr>
          <w:rFonts w:ascii="Palatino Linotype" w:hAnsi="Palatino Linotype" w:cs="Times New Roman"/>
          <w:bCs/>
        </w:rPr>
        <w:t xml:space="preserve">Bu nedenle </w:t>
      </w:r>
      <w:r w:rsidR="00B84193" w:rsidRPr="00B84193">
        <w:rPr>
          <w:rFonts w:ascii="Palatino Linotype" w:hAnsi="Palatino Linotype" w:cs="Times New Roman"/>
          <w:bCs/>
        </w:rPr>
        <w:t>talebimizin kabulüne karar verilmesi</w:t>
      </w:r>
      <w:r w:rsidR="004E3A16" w:rsidRPr="00C47AC0">
        <w:rPr>
          <w:rFonts w:ascii="Palatino Linotype" w:hAnsi="Palatino Linotype" w:cs="Times New Roman"/>
          <w:bCs/>
        </w:rPr>
        <w:t xml:space="preserve"> </w:t>
      </w:r>
      <w:r w:rsidR="00CD76E1" w:rsidRPr="00C47AC0">
        <w:rPr>
          <w:rFonts w:ascii="Palatino Linotype" w:hAnsi="Palatino Linotype" w:cs="Times New Roman"/>
          <w:bCs/>
        </w:rPr>
        <w:t>Anayasanın ve Sözleşme hukukunun üstünlüğünün gereğidir.</w:t>
      </w:r>
      <w:r w:rsidR="00D4338F" w:rsidRPr="00C47AC0">
        <w:rPr>
          <w:rFonts w:ascii="Palatino Linotype" w:hAnsi="Palatino Linotype" w:cs="Times New Roman"/>
          <w:bCs/>
        </w:rPr>
        <w:t xml:space="preserve"> </w:t>
      </w:r>
    </w:p>
    <w:p w14:paraId="52DF9A8A" w14:textId="1E279588" w:rsidR="008A5BF2" w:rsidRPr="00C47AC0" w:rsidRDefault="00C61BA4" w:rsidP="00C61BA4">
      <w:pPr>
        <w:spacing w:after="0"/>
        <w:ind w:left="180" w:hanging="270"/>
        <w:jc w:val="both"/>
        <w:rPr>
          <w:rFonts w:ascii="Palatino Linotype" w:hAnsi="Palatino Linotype" w:cs="Times New Roman"/>
          <w:i/>
          <w:lang w:val="tr"/>
        </w:rPr>
      </w:pPr>
      <w:r w:rsidRPr="00C47AC0">
        <w:rPr>
          <w:rFonts w:ascii="Palatino Linotype" w:hAnsi="Palatino Linotype" w:cs="Times New Roman"/>
          <w:b/>
          <w:lang w:val="tr"/>
        </w:rPr>
        <w:t xml:space="preserve">A- </w:t>
      </w:r>
      <w:r w:rsidR="008A5BF2" w:rsidRPr="00C47AC0">
        <w:rPr>
          <w:rFonts w:ascii="Palatino Linotype" w:hAnsi="Palatino Linotype" w:cs="Times New Roman"/>
          <w:b/>
          <w:lang w:val="tr"/>
        </w:rPr>
        <w:t xml:space="preserve">AİHM’in Yüksel Yalçınkaya/Türkiye Davasının </w:t>
      </w:r>
      <w:r w:rsidRPr="00C47AC0">
        <w:rPr>
          <w:rFonts w:ascii="Palatino Linotype" w:hAnsi="Palatino Linotype" w:cs="Times New Roman"/>
          <w:b/>
          <w:lang w:val="tr"/>
        </w:rPr>
        <w:t xml:space="preserve">Süreci </w:t>
      </w:r>
      <w:r w:rsidR="008A5BF2" w:rsidRPr="00C47AC0">
        <w:rPr>
          <w:rFonts w:ascii="Palatino Linotype" w:hAnsi="Palatino Linotype" w:cs="Times New Roman"/>
          <w:i/>
          <w:lang w:val="tr"/>
        </w:rPr>
        <w:t xml:space="preserve">(Büyük Daire-Başvuru No. </w:t>
      </w:r>
      <w:r w:rsidRPr="00C47AC0">
        <w:rPr>
          <w:rFonts w:ascii="Palatino Linotype" w:hAnsi="Palatino Linotype" w:cs="Times New Roman"/>
          <w:i/>
          <w:lang w:val="tr"/>
        </w:rPr>
        <w:t xml:space="preserve">   </w:t>
      </w:r>
      <w:r w:rsidR="008A5BF2" w:rsidRPr="00C47AC0">
        <w:rPr>
          <w:rFonts w:ascii="Palatino Linotype" w:hAnsi="Palatino Linotype" w:cs="Times New Roman"/>
          <w:i/>
          <w:lang w:val="tr"/>
        </w:rPr>
        <w:t>15669/20; 26 Eylül 2023)</w:t>
      </w:r>
    </w:p>
    <w:p w14:paraId="338CBF27" w14:textId="77777777" w:rsidR="00E40DC4" w:rsidRPr="00C47AC0" w:rsidRDefault="00E40DC4" w:rsidP="00C61BA4">
      <w:pPr>
        <w:spacing w:after="0"/>
        <w:ind w:left="180" w:hanging="270"/>
        <w:jc w:val="both"/>
        <w:rPr>
          <w:rFonts w:ascii="Palatino Linotype" w:hAnsi="Palatino Linotype" w:cs="Times New Roman"/>
          <w:i/>
          <w:lang w:val="tr"/>
        </w:rPr>
      </w:pPr>
    </w:p>
    <w:p w14:paraId="6CD506ED" w14:textId="484463D3"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Kayseri’de bir devlet okulunda öğretmen olan başvuran Yüksel Yalçınkaya, Türk makamları tarafından "FETÖ/PDY" olarak tanımlanan silahlı terör örgütüne üyelikten 21 Mart 2017 tarihinde Kayseri Ağır Ceza Mahkemesince altı yıl üç ay hapis cezasına mahkum edilmiştir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 xml:space="preserve">63). </w:t>
      </w:r>
    </w:p>
    <w:p w14:paraId="4377AE67" w14:textId="2A089BA8"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iCs/>
          <w:lang w:val="tr"/>
        </w:rPr>
        <w:lastRenderedPageBreak/>
        <w:t>Mahkûmiyet kararı</w:t>
      </w:r>
      <w:r w:rsidRPr="00C47AC0">
        <w:rPr>
          <w:rFonts w:ascii="Palatino Linotype" w:hAnsi="Palatino Linotype" w:cs="Times New Roman"/>
          <w:bCs/>
        </w:rPr>
        <w:t>, başvuranın, "ByLock" adlı şifreli bir mesajlaşma uygulamasını kullanmasına, Bank Asya'da bir hesap sahibi olmasına, bir sendika (Aktif Eğitimciler Sendikası) ve derneğe (Kayseri Gönüllü Eğitimciler Derneği) üye olmasına dayandırılmıştır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bCs/>
        </w:rPr>
        <w:t>1, 24, 27).</w:t>
      </w:r>
    </w:p>
    <w:p w14:paraId="616A8C71" w14:textId="77777777"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Başvuran, yargılanmasının ve mahkûmiyetinin Sözleşme'nin 6, 7, 8 ve 11. maddelerinin ihlali anlamına geldiğinden bahisle 17 Mart 2020 tarihinde AİHM’e başvurmuştur (</w:t>
      </w:r>
      <w:proofErr w:type="spellStart"/>
      <w:r w:rsidRPr="00C47AC0">
        <w:rPr>
          <w:rFonts w:ascii="Palatino Linotype" w:hAnsi="Palatino Linotype" w:cs="Times New Roman"/>
          <w:bCs/>
        </w:rPr>
        <w:t>prg</w:t>
      </w:r>
      <w:proofErr w:type="spellEnd"/>
      <w:r w:rsidRPr="00C47AC0">
        <w:rPr>
          <w:rFonts w:ascii="Palatino Linotype" w:hAnsi="Palatino Linotype" w:cs="Times New Roman"/>
          <w:bCs/>
        </w:rPr>
        <w:t xml:space="preserve"> 1, 2).</w:t>
      </w:r>
    </w:p>
    <w:p w14:paraId="4F9AC1E3" w14:textId="27CF6A9B"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 xml:space="preserve">Başvuru, Mahkeme'nin İkinci Bölümü'ne havale edilmiş ve Bölüm, başvuruyu benzer vakalar açısından </w:t>
      </w:r>
      <w:r w:rsidRPr="00C47AC0">
        <w:rPr>
          <w:rFonts w:ascii="Palatino Linotype" w:hAnsi="Palatino Linotype" w:cs="Times New Roman"/>
          <w:bCs/>
          <w:i/>
          <w:iCs/>
        </w:rPr>
        <w:t>“</w:t>
      </w:r>
      <w:proofErr w:type="spellStart"/>
      <w:r w:rsidRPr="00C47AC0">
        <w:rPr>
          <w:rFonts w:ascii="Palatino Linotype" w:hAnsi="Palatino Linotype" w:cs="Times New Roman"/>
          <w:bCs/>
          <w:i/>
          <w:iCs/>
        </w:rPr>
        <w:t>leading</w:t>
      </w:r>
      <w:proofErr w:type="spellEnd"/>
      <w:r w:rsidRPr="00C47AC0">
        <w:rPr>
          <w:rFonts w:ascii="Palatino Linotype" w:hAnsi="Palatino Linotype" w:cs="Times New Roman"/>
          <w:bCs/>
          <w:i/>
          <w:iCs/>
        </w:rPr>
        <w:t xml:space="preserve"> </w:t>
      </w:r>
      <w:proofErr w:type="spellStart"/>
      <w:r w:rsidRPr="00C47AC0">
        <w:rPr>
          <w:rFonts w:ascii="Palatino Linotype" w:hAnsi="Palatino Linotype" w:cs="Times New Roman"/>
          <w:bCs/>
          <w:i/>
          <w:iCs/>
        </w:rPr>
        <w:t>case</w:t>
      </w:r>
      <w:proofErr w:type="spellEnd"/>
      <w:r w:rsidRPr="00C47AC0">
        <w:rPr>
          <w:rFonts w:ascii="Palatino Linotype" w:hAnsi="Palatino Linotype" w:cs="Times New Roman"/>
          <w:bCs/>
          <w:i/>
          <w:iCs/>
        </w:rPr>
        <w:t>”</w:t>
      </w:r>
      <w:r w:rsidRPr="00C47AC0">
        <w:rPr>
          <w:rFonts w:ascii="Palatino Linotype" w:hAnsi="Palatino Linotype" w:cs="Times New Roman"/>
          <w:bCs/>
        </w:rPr>
        <w:t xml:space="preserve"> (önde gelen ve diğerlerine örnek olacak) olarak (02/03/2021) seçmiştir. 3 Mayıs 2022 tarihinde, İkinci Bölüm, Büyük Daire lehine yargı yetkisinden feragat etmeye karar vermiştir (</w:t>
      </w:r>
      <w:r w:rsidR="00F508CA" w:rsidRPr="00C47AC0">
        <w:rPr>
          <w:rFonts w:ascii="Palatino Linotype" w:eastAsia="Calibri" w:hAnsi="Palatino Linotype" w:cs="Times New Roman"/>
          <w:iCs/>
          <w:kern w:val="2"/>
          <w:lang w:val="tr"/>
          <w14:ligatures w14:val="standardContextual"/>
        </w:rPr>
        <w:t>§</w:t>
      </w:r>
      <w:r w:rsidRPr="00C47AC0">
        <w:rPr>
          <w:rFonts w:ascii="Palatino Linotype" w:hAnsi="Palatino Linotype" w:cs="Times New Roman"/>
          <w:bCs/>
        </w:rPr>
        <w:t xml:space="preserve"> 6). </w:t>
      </w:r>
    </w:p>
    <w:p w14:paraId="7F0CFE73" w14:textId="48902084"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bCs/>
        </w:rPr>
        <w:t>Büyük Daire</w:t>
      </w:r>
      <w:r w:rsidRPr="00C47AC0">
        <w:rPr>
          <w:rFonts w:ascii="Palatino Linotype" w:hAnsi="Palatino Linotype" w:cs="Times New Roman"/>
          <w:iCs/>
          <w:lang w:val="tr"/>
        </w:rPr>
        <w:t>, başvuru ile ilgili duruşmayı, 18 Ocak 2023 tarihinde kamuya açık olarak gerçekleştirmiştir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9).</w:t>
      </w:r>
      <w:r w:rsidRPr="00C47AC0">
        <w:rPr>
          <w:rFonts w:ascii="Palatino Linotype" w:eastAsia="Times New Roman" w:hAnsi="Palatino Linotype" w:cs="Times New Roman"/>
          <w:lang w:val="tr" w:eastAsia="fr-CH"/>
        </w:rPr>
        <w:t xml:space="preserve"> </w:t>
      </w:r>
      <w:r w:rsidRPr="00C47AC0">
        <w:rPr>
          <w:rFonts w:ascii="Palatino Linotype" w:hAnsi="Palatino Linotype" w:cs="Times New Roman"/>
          <w:iCs/>
          <w:lang w:val="tr"/>
        </w:rPr>
        <w:t>Büyük Daire halinde toplanan AİHM, 18 Ocak ve 28 Haziran 2023 tarihlerinde gerçekleştirilen kapalı müzakerelerin ardından daha sonraki bir tarihte kabul edilen kararını 26 Eylül 2023 tarihinde açıklamıştır.</w:t>
      </w:r>
    </w:p>
    <w:p w14:paraId="49F69250" w14:textId="0E25D819" w:rsidR="00CA2C93" w:rsidRPr="00C47AC0" w:rsidRDefault="008A5BF2" w:rsidP="00CA2C93">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bCs/>
        </w:rPr>
        <w:t>AİHM</w:t>
      </w:r>
      <w:r w:rsidRPr="00C47AC0">
        <w:rPr>
          <w:rFonts w:ascii="Palatino Linotype" w:hAnsi="Palatino Linotype" w:cs="Times New Roman"/>
          <w:iCs/>
          <w:lang w:val="tr"/>
        </w:rPr>
        <w:t xml:space="preserve">, AİHS’nin 7/1. Maddesinin </w:t>
      </w:r>
      <w:r w:rsidRPr="00C47AC0">
        <w:rPr>
          <w:rFonts w:ascii="Palatino Linotype" w:hAnsi="Palatino Linotype" w:cs="Times New Roman"/>
          <w:i/>
          <w:iCs/>
          <w:lang w:val="tr"/>
        </w:rPr>
        <w:t>“Hiç kimse, işlendiği zaman ulusal veya uluslararası hukuka göre suç oluşturmayan bir eylem veya ihmalden dolayı suçlu bulunamaz. Aynı biçimde, suçun işlendiği sırada uygulanabilir olan cezadan daha ağır bir ceza verilemez.”</w:t>
      </w:r>
      <w:r w:rsidRPr="00C47AC0">
        <w:rPr>
          <w:rFonts w:ascii="Palatino Linotype" w:hAnsi="Palatino Linotype" w:cs="Times New Roman"/>
          <w:lang w:val="tr"/>
        </w:rPr>
        <w:t xml:space="preserve"> hükmünü; 6/1. maddesinin </w:t>
      </w:r>
      <w:r w:rsidRPr="00C47AC0">
        <w:rPr>
          <w:rFonts w:ascii="Palatino Linotype" w:hAnsi="Palatino Linotype" w:cs="Times New Roman"/>
          <w:i/>
          <w:lang w:val="tr"/>
        </w:rPr>
        <w:t xml:space="preserve">"Herkes, kendisine yöneltilen herhangi bir suç isnadının ... karara bağlanmasında, ... yasayla kurulmuş bir mahkeme tarafından ... adil bir ... duruşma yapılmasını isteme hakkına sahiptir. ..." </w:t>
      </w:r>
      <w:r w:rsidRPr="00C47AC0">
        <w:rPr>
          <w:rFonts w:ascii="Palatino Linotype" w:hAnsi="Palatino Linotype" w:cs="Times New Roman"/>
          <w:iCs/>
          <w:lang w:val="tr"/>
        </w:rPr>
        <w:t>hükmünü</w:t>
      </w:r>
      <w:r w:rsidRPr="00C47AC0">
        <w:rPr>
          <w:rFonts w:ascii="Palatino Linotype" w:hAnsi="Palatino Linotype" w:cs="Times New Roman"/>
          <w:lang w:val="tr"/>
        </w:rPr>
        <w:t xml:space="preserve">; 11. Maddesinin </w:t>
      </w:r>
      <w:r w:rsidRPr="00C47AC0">
        <w:rPr>
          <w:rFonts w:ascii="Palatino Linotype" w:hAnsi="Palatino Linotype" w:cs="Times New Roman"/>
          <w:i/>
          <w:lang w:val="tr"/>
        </w:rPr>
        <w:t>"Herkes, çıkarlarını korumak için sendika kurma ve sendikalara üye olma hakkı da dahil olmak üzere, barışçıl olarak toplanma ve başkalarıyla birlikte örgütlenme özgürlüğü hakkına sahiptir.”</w:t>
      </w:r>
      <w:r w:rsidRPr="00C47AC0">
        <w:rPr>
          <w:rFonts w:ascii="Palatino Linotype" w:hAnsi="Palatino Linotype" w:cs="Times New Roman"/>
          <w:iCs/>
          <w:lang w:val="tr"/>
        </w:rPr>
        <w:t xml:space="preserve"> hükmünü dikkate alarak, </w:t>
      </w:r>
      <w:r w:rsidRPr="00C47AC0">
        <w:rPr>
          <w:rFonts w:ascii="Palatino Linotype" w:hAnsi="Palatino Linotype" w:cs="Times New Roman"/>
          <w:lang w:val="tr"/>
        </w:rPr>
        <w:t xml:space="preserve">adeta TCK’nın örgüt üyeliği ile ilgili 314/2. </w:t>
      </w:r>
      <w:r w:rsidR="00924F0F" w:rsidRPr="00C47AC0">
        <w:rPr>
          <w:rFonts w:ascii="Palatino Linotype" w:hAnsi="Palatino Linotype" w:cs="Times New Roman"/>
          <w:lang w:val="tr"/>
        </w:rPr>
        <w:t>m</w:t>
      </w:r>
      <w:r w:rsidRPr="00C47AC0">
        <w:rPr>
          <w:rFonts w:ascii="Palatino Linotype" w:hAnsi="Palatino Linotype" w:cs="Times New Roman"/>
          <w:lang w:val="tr"/>
        </w:rPr>
        <w:t xml:space="preserve">addesinin bir unsuruymuş gibi değerlendirilen ByLock uygulamasını kullanmanın ve yine faaliyet icra ettikleri dönemde yasal olan Bank Asya’da hesap sahibi olunması ve yine yasal bir dernek ve sendikada üye olunması hususlarının terör örgütü üyeliği suç unsuru haline getirilmesi, Bylock verilerinin başvuran ile paylaşılmaması, </w:t>
      </w:r>
      <w:r w:rsidR="00C61BA4" w:rsidRPr="00C47AC0">
        <w:rPr>
          <w:rFonts w:ascii="Palatino Linotype" w:hAnsi="Palatino Linotype" w:cs="Times New Roman"/>
          <w:lang w:val="tr"/>
        </w:rPr>
        <w:t xml:space="preserve">verilerin güvenilirliğine ilişkin şüphelerin giderilmesi noktasında açıklama yapılmaması, </w:t>
      </w:r>
      <w:r w:rsidRPr="00C47AC0">
        <w:rPr>
          <w:rFonts w:ascii="Palatino Linotype" w:hAnsi="Palatino Linotype" w:cs="Times New Roman"/>
          <w:lang w:val="tr"/>
        </w:rPr>
        <w:t xml:space="preserve">silahların eşitliği ve çelişmeli yargılama hakkının sağlanmaması, dernek ve sendika üyeliklerin sözleşmede korunan temel hak ve yasal olması, tüm bu haklar kullanılırken hukuk ve yasaya güvenilmesi ve gelecekte bunlardan dolayı </w:t>
      </w:r>
      <w:proofErr w:type="spellStart"/>
      <w:r w:rsidRPr="00C47AC0">
        <w:rPr>
          <w:rFonts w:ascii="Palatino Linotype" w:hAnsi="Palatino Linotype" w:cs="Times New Roman"/>
          <w:lang w:val="tr"/>
        </w:rPr>
        <w:t>suçlan</w:t>
      </w:r>
      <w:r w:rsidR="00F508CA" w:rsidRPr="00C47AC0">
        <w:rPr>
          <w:rFonts w:ascii="Palatino Linotype" w:hAnsi="Palatino Linotype" w:cs="Times New Roman"/>
          <w:lang w:val="tr"/>
        </w:rPr>
        <w:t>ı</w:t>
      </w:r>
      <w:r w:rsidRPr="00C47AC0">
        <w:rPr>
          <w:rFonts w:ascii="Palatino Linotype" w:hAnsi="Palatino Linotype" w:cs="Times New Roman"/>
          <w:lang w:val="tr"/>
        </w:rPr>
        <w:t>lacağının</w:t>
      </w:r>
      <w:proofErr w:type="spellEnd"/>
      <w:r w:rsidRPr="00C47AC0">
        <w:rPr>
          <w:rFonts w:ascii="Palatino Linotype" w:hAnsi="Palatino Linotype" w:cs="Times New Roman"/>
          <w:lang w:val="tr"/>
        </w:rPr>
        <w:t xml:space="preserve"> öngörülmemesi</w:t>
      </w:r>
      <w:r w:rsidR="0099678B" w:rsidRPr="00C47AC0">
        <w:rPr>
          <w:rFonts w:ascii="Palatino Linotype" w:hAnsi="Palatino Linotype" w:cs="Times New Roman"/>
          <w:lang w:val="tr"/>
        </w:rPr>
        <w:t xml:space="preserve">, TCK’nın 314/2. maddesinin </w:t>
      </w:r>
      <w:r w:rsidR="0099678B" w:rsidRPr="00C47AC0">
        <w:rPr>
          <w:rFonts w:ascii="Palatino Linotype" w:hAnsi="Palatino Linotype" w:cs="Times New Roman"/>
          <w:iCs/>
          <w:lang w:val="tr"/>
        </w:rPr>
        <w:t>yorumlanma şeklinin, bu hükmün kapsamını öngörülemeyen bir şekilde genişletmesi</w:t>
      </w:r>
      <w:r w:rsidR="00924F0F" w:rsidRPr="00C47AC0">
        <w:rPr>
          <w:rFonts w:ascii="Palatino Linotype" w:hAnsi="Palatino Linotype" w:cs="Times New Roman"/>
          <w:iCs/>
          <w:lang w:val="tr"/>
        </w:rPr>
        <w:t xml:space="preserve"> ve</w:t>
      </w:r>
      <w:r w:rsidR="0099678B" w:rsidRPr="00C47AC0">
        <w:rPr>
          <w:rFonts w:ascii="Palatino Linotype" w:hAnsi="Palatino Linotype" w:cs="Times New Roman"/>
          <w:iCs/>
          <w:lang w:val="tr"/>
        </w:rPr>
        <w:t xml:space="preserve"> keyfi müdahalelere karşı gerekli asgari korumayı sağlamaması</w:t>
      </w:r>
      <w:r w:rsidR="00C70A1B" w:rsidRPr="00C47AC0">
        <w:rPr>
          <w:rFonts w:ascii="Palatino Linotype" w:hAnsi="Palatino Linotype" w:cs="Times New Roman"/>
          <w:iCs/>
          <w:lang w:val="tr"/>
        </w:rPr>
        <w:t xml:space="preserve"> </w:t>
      </w:r>
      <w:r w:rsidRPr="00C47AC0">
        <w:rPr>
          <w:rFonts w:ascii="Palatino Linotype" w:hAnsi="Palatino Linotype" w:cs="Times New Roman"/>
          <w:lang w:val="tr"/>
        </w:rPr>
        <w:t>gibi nedenlerle anılan Sözleşme hükümlerinin ihlal edildiğine karar vermiştir.</w:t>
      </w:r>
    </w:p>
    <w:p w14:paraId="00B2CF28" w14:textId="6536BAEC" w:rsidR="00CA2C93" w:rsidRPr="00C47AC0" w:rsidRDefault="00CA2C93" w:rsidP="00CA2C93">
      <w:pPr>
        <w:spacing w:line="360" w:lineRule="auto"/>
        <w:jc w:val="both"/>
        <w:rPr>
          <w:rFonts w:ascii="Palatino Linotype" w:hAnsi="Palatino Linotype" w:cs="Times New Roman"/>
          <w:b/>
          <w:bCs/>
          <w:iCs/>
          <w:lang w:val="tr"/>
        </w:rPr>
      </w:pPr>
      <w:r w:rsidRPr="00C47AC0">
        <w:rPr>
          <w:rFonts w:ascii="Palatino Linotype" w:hAnsi="Palatino Linotype" w:cs="Times New Roman"/>
          <w:b/>
          <w:bCs/>
          <w:lang w:val="tr"/>
        </w:rPr>
        <w:lastRenderedPageBreak/>
        <w:t xml:space="preserve">B- </w:t>
      </w:r>
      <w:r w:rsidR="009C6702">
        <w:rPr>
          <w:rFonts w:ascii="Palatino Linotype" w:hAnsi="Palatino Linotype" w:cs="Times New Roman"/>
          <w:b/>
          <w:bCs/>
          <w:lang w:val="tr"/>
        </w:rPr>
        <w:t xml:space="preserve"> Hakkımdaki </w:t>
      </w:r>
      <w:r w:rsidRPr="00C47AC0">
        <w:rPr>
          <w:rFonts w:ascii="Palatino Linotype" w:hAnsi="Palatino Linotype" w:cs="Times New Roman"/>
          <w:b/>
          <w:bCs/>
          <w:lang w:val="tr"/>
        </w:rPr>
        <w:t>Suçlama Nedeniyle Aynı Olan Karardan Öne Çıkan İhlal Gerekçeleri</w:t>
      </w:r>
    </w:p>
    <w:p w14:paraId="3F39B437" w14:textId="444DC94D" w:rsidR="003B35EE" w:rsidRPr="00C47AC0" w:rsidRDefault="002B543A" w:rsidP="002B543A">
      <w:pPr>
        <w:spacing w:line="360" w:lineRule="auto"/>
        <w:contextualSpacing/>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 xml:space="preserve">a) </w:t>
      </w:r>
      <w:r w:rsidR="003B35EE" w:rsidRPr="00C47AC0">
        <w:rPr>
          <w:rFonts w:ascii="Palatino Linotype" w:eastAsia="Calibri" w:hAnsi="Palatino Linotype" w:cs="Times New Roman"/>
          <w:b/>
          <w:bCs/>
          <w:iCs/>
          <w:kern w:val="2"/>
          <w:lang w:val="tr"/>
          <w14:ligatures w14:val="standardContextual"/>
        </w:rPr>
        <w:t>AİHM’in Sözleşme’nin 7. Maddesi ile İlgili Tespitleri ve İhlal Gerekçesi</w:t>
      </w:r>
    </w:p>
    <w:p w14:paraId="23C36E43" w14:textId="1541C11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AİHS’nin</w:t>
      </w:r>
      <w:r w:rsidRPr="00C47AC0">
        <w:rPr>
          <w:rFonts w:ascii="Palatino Linotype" w:eastAsia="Calibri" w:hAnsi="Palatino Linotype" w:cs="Times New Roman"/>
          <w:iCs/>
          <w:kern w:val="2"/>
          <w:lang w:val="tr"/>
          <w14:ligatures w14:val="standardContextual"/>
        </w:rPr>
        <w:t xml:space="preserve"> 7/1. </w:t>
      </w:r>
      <w:r w:rsidR="00924F0F" w:rsidRPr="00C47AC0">
        <w:rPr>
          <w:rFonts w:ascii="Palatino Linotype" w:eastAsia="Calibri" w:hAnsi="Palatino Linotype" w:cs="Times New Roman"/>
          <w:iCs/>
          <w:kern w:val="2"/>
          <w:lang w:val="tr"/>
          <w14:ligatures w14:val="standardContextual"/>
        </w:rPr>
        <w:t>m</w:t>
      </w:r>
      <w:r w:rsidRPr="00C47AC0">
        <w:rPr>
          <w:rFonts w:ascii="Palatino Linotype" w:eastAsia="Calibri" w:hAnsi="Palatino Linotype" w:cs="Times New Roman"/>
          <w:iCs/>
          <w:kern w:val="2"/>
          <w:lang w:val="tr"/>
          <w14:ligatures w14:val="standardContextual"/>
        </w:rPr>
        <w:t xml:space="preserve">addesi şöyledir: </w:t>
      </w:r>
      <w:r w:rsidRPr="00C47AC0">
        <w:rPr>
          <w:rFonts w:ascii="Palatino Linotype" w:eastAsia="Calibri" w:hAnsi="Palatino Linotype" w:cs="Times New Roman"/>
          <w:i/>
          <w:iCs/>
          <w:kern w:val="2"/>
          <w:lang w:val="tr"/>
          <w14:ligatures w14:val="standardContextual"/>
        </w:rPr>
        <w:t xml:space="preserve">“Hiç kimse, işlendiği zaman ulusal veya uluslararası hukuka göre suç oluşturmayan bir eylem veya ihmalden dolayı suçlu bulunamaz. Aynı </w:t>
      </w:r>
      <w:r w:rsidR="00113171" w:rsidRPr="00C47AC0">
        <w:rPr>
          <w:rFonts w:ascii="Palatino Linotype" w:eastAsia="Calibri" w:hAnsi="Palatino Linotype" w:cs="Times New Roman"/>
          <w:i/>
          <w:iCs/>
          <w:kern w:val="2"/>
          <w:lang w:val="tr"/>
          <w14:ligatures w14:val="standardContextual"/>
        </w:rPr>
        <w:t>b</w:t>
      </w:r>
      <w:r w:rsidRPr="00C47AC0">
        <w:rPr>
          <w:rFonts w:ascii="Palatino Linotype" w:eastAsia="Calibri" w:hAnsi="Palatino Linotype" w:cs="Times New Roman"/>
          <w:i/>
          <w:iCs/>
          <w:kern w:val="2"/>
          <w:lang w:val="tr"/>
          <w14:ligatures w14:val="standardContextual"/>
        </w:rPr>
        <w:t>içimde, suçun işlendiği sırada uygulanabilir olan cezadan daha ağır bir ceza verilemez.”</w:t>
      </w:r>
    </w:p>
    <w:p w14:paraId="1B69C760" w14:textId="47548D6E"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AİHM’e</w:t>
      </w:r>
      <w:r w:rsidRPr="00C47AC0">
        <w:rPr>
          <w:rFonts w:ascii="Palatino Linotype" w:eastAsia="Calibri" w:hAnsi="Palatino Linotype" w:cs="Times New Roman"/>
          <w:iCs/>
          <w:kern w:val="2"/>
          <w:lang w:val="tr"/>
          <w14:ligatures w14:val="standardContextual"/>
        </w:rPr>
        <w:t xml:space="preserve"> göre, hukukun üstünlüğünün temel bir unsuru olan Sözleşme'nin 7. maddesinde yer alan güvence, Sözleşme'nin 15. maddesi uyarınca savaş veya diğer olağanüstü hallerde bu güvenceden herhangi bir sapmaya izin verilmemesinin de altını çizdiği gibi, Sözleşme'nin koruma sisteminde önemli bir yere sahiptir. Sözleşme, amacı ve hedefi doğrultusunda, keyfi kovuşturma, mahkûmiyet ve cezalandırmaya karşı etkili güvenceler sağlayacak şekilde</w:t>
      </w:r>
      <w:r w:rsidR="00113171"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yorumlanmalı ve uygulanmalıdır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237). </w:t>
      </w:r>
    </w:p>
    <w:p w14:paraId="441268D8" w14:textId="6D2ED567"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Sözleşme'nin</w:t>
      </w:r>
      <w:r w:rsidRPr="00C47AC0">
        <w:rPr>
          <w:rFonts w:ascii="Palatino Linotype" w:eastAsia="Calibri" w:hAnsi="Palatino Linotype" w:cs="Times New Roman"/>
          <w:iCs/>
          <w:kern w:val="2"/>
          <w:lang w:val="tr"/>
          <w14:ligatures w14:val="standardContextual"/>
        </w:rPr>
        <w:t xml:space="preserve"> 7. maddesi, ceza hukukunun geriye dönük olarak sanığın aleyhine uygulanmasını yasaklamakla sınırlı değildir. Aynı zamanda, daha genel olarak, sadece yasanın bir suçu tanımlayabileceği ve bir ceza öngörebileceği ilkesini (nullum crimen, nulla poena sine lege) ve ceza hukukunun, örneğin kıyas yoluyla, bir sanığın aleyhine olacak şekilde geniş yorumlanmaması gerektiği ilkesini de içerir. Bu ilkelerden, bir suçun kanunda açıkça tanımlanmış olması gerektiği sonucu çıkmaktadır. Bu gereklilik, bireyin ilgili hükmün lafzından ve gerekirse mahkemelerin yorumundan, hangi eylem ve ihmallerin kendisini cezai olarak sorumlu kılacağını bilebildiği durumlarda yerine getirilmiş olur. 7. </w:t>
      </w:r>
      <w:r w:rsidR="00F508CA" w:rsidRPr="00C47AC0">
        <w:rPr>
          <w:rFonts w:ascii="Palatino Linotype" w:eastAsia="Calibri" w:hAnsi="Palatino Linotype" w:cs="Times New Roman"/>
          <w:iCs/>
          <w:kern w:val="2"/>
          <w:lang w:val="tr"/>
          <w14:ligatures w14:val="standardContextual"/>
        </w:rPr>
        <w:t>m</w:t>
      </w:r>
      <w:r w:rsidRPr="00C47AC0">
        <w:rPr>
          <w:rFonts w:ascii="Palatino Linotype" w:eastAsia="Calibri" w:hAnsi="Palatino Linotype" w:cs="Times New Roman"/>
          <w:iCs/>
          <w:kern w:val="2"/>
          <w:lang w:val="tr"/>
          <w14:ligatures w14:val="standardContextual"/>
        </w:rPr>
        <w:t>adde, özellikle</w:t>
      </w:r>
      <w:r w:rsidR="00113171"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erişilebilirlik ve öngörülebilirlik gibi niteliksel gereklilikleri ima etmektedir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238). </w:t>
      </w:r>
    </w:p>
    <w:p w14:paraId="114CFE70" w14:textId="60BD865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Terör örgütü kurmak suçundan Fetullah Gülen’in daha önce beraat etmesi, 2017 yılından önce kesinleşen bir mahkeme kararı olmaması karşısında, bir örgüt üyeliği suçundan mahkumiyet için “bilme ve isteme” manevi unsurunun özel olarak incelenmesine dikkat</w:t>
      </w:r>
      <w:r w:rsidR="00113171"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çekmiştir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253). </w:t>
      </w:r>
    </w:p>
    <w:p w14:paraId="51C9CB9A" w14:textId="25163E0C"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ilgili ulusal mahkeme kararlarında, ByLock kullanımının, başvuranın FETÖ/PDY'nin cebir ve şiddet kullanarak ulaşmayı amaçladığı terörist amaçlar taşıdığını bildiği sonucuna doğrudan nasıl yol açtığının anlamlı bir açıklama ile ortaya konulmadığını, özel kastın saptanmadığını ve hiyerarşisinin bir parçası olarak faaliyetlerine katılımın veya ulusal hukukun gerektirdiği şekilde örgütün fiili varlığına veya güçlenmesine başka herhangi bir somut maddi veya zihinsel katkıda bulunulduğunun izah edilmediğini saptamıştır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263).</w:t>
      </w:r>
    </w:p>
    <w:p w14:paraId="4594C6A2" w14:textId="6406033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lastRenderedPageBreak/>
        <w:t>AİHM</w:t>
      </w:r>
      <w:r w:rsidRPr="00C47AC0">
        <w:rPr>
          <w:rFonts w:ascii="Palatino Linotype" w:eastAsia="Calibri" w:hAnsi="Palatino Linotype" w:cs="Times New Roman"/>
          <w:iCs/>
          <w:kern w:val="2"/>
          <w:lang w:val="tr"/>
          <w14:ligatures w14:val="standardContextual"/>
        </w:rPr>
        <w:t>, yerel mahkemeler ve Hükümetin, ByLock kullanım tespitini mahkumiyet için tek</w:t>
      </w:r>
      <w:r w:rsidR="00113171"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başına yeterli olarak gördüğünü tespit etmiş</w:t>
      </w:r>
      <w:r w:rsidR="00113171" w:rsidRPr="00C47AC0">
        <w:rPr>
          <w:rFonts w:ascii="Palatino Linotype" w:eastAsia="Calibri" w:hAnsi="Palatino Linotype" w:cs="Times New Roman"/>
          <w:iCs/>
          <w:kern w:val="2"/>
          <w:lang w:val="tr"/>
          <w14:ligatures w14:val="standardContextual"/>
        </w:rPr>
        <w:t xml:space="preserve"> ve bu durumu eleştirmiştir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257).</w:t>
      </w:r>
    </w:p>
    <w:p w14:paraId="77952012" w14:textId="477733BF"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xml:space="preserve">, bu durumun silahlı terör örgütü üyeliği için aranan süreklilik, çeşitlilik ve yoğunluğa dayalı organik bir bağın kanıtlanması, </w:t>
      </w:r>
      <w:r w:rsidRPr="00C47AC0">
        <w:rPr>
          <w:rFonts w:ascii="Palatino Linotype" w:eastAsia="Calibri" w:hAnsi="Palatino Linotype" w:cs="Times New Roman"/>
          <w:b/>
          <w:bCs/>
          <w:iCs/>
          <w:kern w:val="2"/>
          <w:lang w:val="tr"/>
          <w14:ligatures w14:val="standardContextual"/>
        </w:rPr>
        <w:t>manevi unsurun saptanması unsurları ile uyuşmadığını</w:t>
      </w:r>
      <w:r w:rsidRPr="00C47AC0">
        <w:rPr>
          <w:rFonts w:ascii="Palatino Linotype" w:eastAsia="Calibri" w:hAnsi="Palatino Linotype" w:cs="Times New Roman"/>
          <w:iCs/>
          <w:kern w:val="2"/>
          <w:lang w:val="tr"/>
          <w14:ligatures w14:val="standardContextual"/>
        </w:rPr>
        <w:t xml:space="preserve"> belirlemiştir. </w:t>
      </w:r>
      <w:r w:rsidRPr="00C47AC0">
        <w:rPr>
          <w:rFonts w:ascii="Palatino Linotype" w:eastAsia="Calibri" w:hAnsi="Palatino Linotype" w:cs="Times New Roman"/>
          <w:b/>
          <w:bCs/>
          <w:iCs/>
          <w:kern w:val="2"/>
          <w:lang w:val="tr"/>
          <w14:ligatures w14:val="standardContextual"/>
        </w:rPr>
        <w:t xml:space="preserve">AİHM, silahlı terör örgütü üyeliğinin tüm gerekliliklerinin (gerekli kasıt dahil) yerine getirildiğini tespit etmeden, bu uygulamanın kullanıcısına etkili bir şekilde cezai sorumluluk yüklemenin Sözleşme'nin 7. Maddesine uymadığını, bu durumun, kişisel sorumluluk unsurunun tesis edilebileceği </w:t>
      </w:r>
      <w:r w:rsidR="009F0FBE" w:rsidRPr="00C47AC0">
        <w:rPr>
          <w:rFonts w:ascii="Palatino Linotype" w:eastAsia="Calibri" w:hAnsi="Palatino Linotype" w:cs="Times New Roman"/>
          <w:b/>
          <w:bCs/>
          <w:iCs/>
          <w:kern w:val="2"/>
          <w:lang w:val="tr"/>
          <w14:ligatures w14:val="standardContextual"/>
        </w:rPr>
        <w:t>manevi unsur</w:t>
      </w:r>
      <w:r w:rsidRPr="00C47AC0">
        <w:rPr>
          <w:rFonts w:ascii="Palatino Linotype" w:eastAsia="Calibri" w:hAnsi="Palatino Linotype" w:cs="Times New Roman"/>
          <w:b/>
          <w:bCs/>
          <w:iCs/>
          <w:kern w:val="2"/>
          <w:lang w:val="tr"/>
          <w14:ligatures w14:val="standardContextual"/>
        </w:rPr>
        <w:t xml:space="preserve"> olmaksızın cezalandırılmama hakkıyla da bağdaşmadığını vurgulamıştır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264).</w:t>
      </w:r>
    </w:p>
    <w:p w14:paraId="2EFC4FF8" w14:textId="4DCA46AE"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AİHM’e</w:t>
      </w:r>
      <w:r w:rsidRPr="00C47AC0">
        <w:rPr>
          <w:rFonts w:ascii="Palatino Linotype" w:eastAsia="Calibri" w:hAnsi="Palatino Linotype" w:cs="Times New Roman"/>
          <w:iCs/>
          <w:kern w:val="2"/>
          <w:lang w:val="tr"/>
          <w14:ligatures w14:val="standardContextual"/>
        </w:rPr>
        <w:t xml:space="preserve"> göre, </w:t>
      </w:r>
      <w:r w:rsidRPr="00C47AC0">
        <w:rPr>
          <w:rFonts w:ascii="Palatino Linotype" w:eastAsia="Calibri" w:hAnsi="Palatino Linotype" w:cs="Times New Roman"/>
          <w:b/>
          <w:bCs/>
          <w:iCs/>
          <w:kern w:val="2"/>
          <w:lang w:val="tr"/>
          <w14:ligatures w14:val="standardContextual"/>
        </w:rPr>
        <w:t>ByLock uygulaması hakkında, belirli bir sanığa ilişkin somut içerik veya diğer ilgili bilgiler olmaksızın, tüm kullanıcı tabanı için belirleyici sonuçlar çıkarmak sadece öngörülemez değil, aynı zamanda yasallık ilkesine ve bireysel cezai sorumluluğa da aykırıdır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265).</w:t>
      </w:r>
    </w:p>
    <w:p w14:paraId="2094B9A2" w14:textId="610588B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başvuran gibi ByLock kullanıcısı olduğu iddia edilen tüm kişilerin, yerel mahkemeler tarafından daha önce yorumlandığı ve uygulandığı şekliyle iç hukuk anlamında geçerli bir şekilde "silahlı terör örgütü üyesi" olarak değerlendirilebilecek kişiler olduğunun nasıl bu kadar kesin ve otomatik bir şekilde tespit edilebileceğini anlamakta </w:t>
      </w:r>
      <w:r w:rsidRPr="00C47AC0">
        <w:rPr>
          <w:rFonts w:ascii="Palatino Linotype" w:hAnsi="Palatino Linotype" w:cs="Times New Roman"/>
          <w:iCs/>
          <w:lang w:val="tr"/>
        </w:rPr>
        <w:t>zorlandığını</w:t>
      </w:r>
      <w:r w:rsidRPr="00C47AC0">
        <w:rPr>
          <w:rFonts w:ascii="Palatino Linotype" w:eastAsia="Calibri" w:hAnsi="Palatino Linotype" w:cs="Times New Roman"/>
          <w:iCs/>
          <w:kern w:val="2"/>
          <w:lang w:val="tr"/>
          <w14:ligatures w14:val="standardContextual"/>
        </w:rPr>
        <w:t xml:space="preserve"> belirtmiştir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266).</w:t>
      </w:r>
    </w:p>
    <w:p w14:paraId="04A23BD8" w14:textId="48F6796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w:t>
      </w:r>
      <w:r w:rsidRPr="00C47AC0">
        <w:rPr>
          <w:rFonts w:ascii="Palatino Linotype" w:eastAsia="Calibri" w:hAnsi="Palatino Linotype" w:cs="Times New Roman"/>
          <w:b/>
          <w:bCs/>
          <w:iCs/>
          <w:kern w:val="2"/>
          <w:lang w:val="tr"/>
          <w14:ligatures w14:val="standardContextual"/>
        </w:rPr>
        <w:t>ByLock kullanımının teknik olarak isnat edilen suçun fiili unsurunun bir parçası olmamasına rağmen, yerel mahkemelerin yorumunun uygulamada sadece ByLock kullanımını bilerek ve isteyerek silahlı bir terör örgütüne üye olmakla eşdeğer tutma etkisi</w:t>
      </w:r>
      <w:r w:rsidR="0000224F"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yarattığına dikkat çekmiştir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267). </w:t>
      </w:r>
    </w:p>
    <w:p w14:paraId="5EDE8597" w14:textId="2808AC7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w:t>
      </w:r>
      <w:r w:rsidRPr="00C47AC0">
        <w:rPr>
          <w:rFonts w:ascii="Palatino Linotype" w:eastAsia="Calibri" w:hAnsi="Palatino Linotype" w:cs="Times New Roman"/>
          <w:b/>
          <w:bCs/>
          <w:iCs/>
          <w:kern w:val="2"/>
          <w:lang w:val="tr"/>
          <w14:ligatures w14:val="standardContextual"/>
        </w:rPr>
        <w:t>ByLock kullanımının adeta suçun (TCK 314/2) unsuru haline getirilerek, usulünce bireyselleştirme yapılmadan verilen mahkumiyetin iç hukukun gerekliliklerine ve 7. madde kapsamındaki korumanın özünde yer alan yasallık ve öngörülebilirlik ilkelerine aykırı</w:t>
      </w:r>
      <w:r w:rsidR="0000224F"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b/>
          <w:bCs/>
          <w:iCs/>
          <w:lang w:val="tr"/>
        </w:rPr>
        <w:t>olduğuna</w:t>
      </w:r>
      <w:r w:rsidRPr="00C47AC0">
        <w:rPr>
          <w:rFonts w:ascii="Palatino Linotype" w:eastAsia="Calibri" w:hAnsi="Palatino Linotype" w:cs="Times New Roman"/>
          <w:b/>
          <w:bCs/>
          <w:iCs/>
          <w:kern w:val="2"/>
          <w:lang w:val="tr"/>
          <w14:ligatures w14:val="standardContextual"/>
        </w:rPr>
        <w:t xml:space="preserve"> karar vermiştir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267).</w:t>
      </w:r>
    </w:p>
    <w:p w14:paraId="19B7CD92" w14:textId="3EF43429"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ByLock kullanımına ilişkin olgusal bulgunun tek başına silahlı terör örgütüne üyelik suçunun kurucu unsurlarını oluşturduğunun düşünülmesini hak ihlali olarak</w:t>
      </w:r>
      <w:r w:rsidR="0000224F" w:rsidRPr="00C47AC0">
        <w:rPr>
          <w:rFonts w:ascii="Palatino Linotype" w:eastAsia="Calibri" w:hAnsi="Palatino Linotype" w:cs="Times New Roman"/>
          <w:iCs/>
          <w:kern w:val="2"/>
          <w:lang w:val="tr"/>
          <w14:ligatures w14:val="standardContextual"/>
        </w:rPr>
        <w:t xml:space="preserve"> </w:t>
      </w:r>
      <w:r w:rsidRPr="00C47AC0">
        <w:rPr>
          <w:rFonts w:ascii="Palatino Linotype" w:hAnsi="Palatino Linotype" w:cs="Times New Roman"/>
          <w:iCs/>
          <w:lang w:val="tr"/>
        </w:rPr>
        <w:t>değerlendirmiştir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268).</w:t>
      </w:r>
    </w:p>
    <w:p w14:paraId="3B561A1A" w14:textId="1D981AC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AİHM, Ayrıca, yerel mahkeme kararlarından ve Hükümet'in görüşlerinden, başvurana atfedilen diğer eylemlerin (Bank Asya’da hesap sahibi olması, dernek üyeliği) sonuç üzerinde çok sınırlı bir etkisi olduğunu, asıl mahkumiyet nedeninin ByLock olduğu</w:t>
      </w:r>
      <w:r w:rsidR="0000224F"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b/>
          <w:bCs/>
          <w:iCs/>
          <w:lang w:val="tr"/>
        </w:rPr>
        <w:t>değerlendirmesine</w:t>
      </w:r>
      <w:r w:rsidRPr="00C47AC0">
        <w:rPr>
          <w:rFonts w:ascii="Palatino Linotype" w:eastAsia="Calibri" w:hAnsi="Palatino Linotype" w:cs="Times New Roman"/>
          <w:b/>
          <w:bCs/>
          <w:iCs/>
          <w:kern w:val="2"/>
          <w:lang w:val="tr"/>
          <w14:ligatures w14:val="standardContextual"/>
        </w:rPr>
        <w:t xml:space="preserve"> dikkat çekmiştir (</w:t>
      </w:r>
      <w:r w:rsidR="005A714C"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 xml:space="preserve"> 268).</w:t>
      </w:r>
      <w:r w:rsidR="0000224F" w:rsidRPr="00C47AC0">
        <w:rPr>
          <w:rFonts w:ascii="Palatino Linotype" w:eastAsia="Calibri" w:hAnsi="Palatino Linotype" w:cs="Times New Roman"/>
          <w:b/>
          <w:bCs/>
          <w:iCs/>
          <w:kern w:val="2"/>
          <w:lang w:val="tr"/>
          <w14:ligatures w14:val="standardContextual"/>
        </w:rPr>
        <w:t xml:space="preserve"> Aslında AİHM, bu yaklaşımı ile diğer delillerin </w:t>
      </w:r>
      <w:r w:rsidR="0000224F" w:rsidRPr="00C47AC0">
        <w:rPr>
          <w:rFonts w:ascii="Palatino Linotype" w:eastAsia="Calibri" w:hAnsi="Palatino Linotype" w:cs="Times New Roman"/>
          <w:b/>
          <w:bCs/>
          <w:iCs/>
          <w:kern w:val="2"/>
          <w:lang w:val="tr"/>
          <w14:ligatures w14:val="standardContextual"/>
        </w:rPr>
        <w:lastRenderedPageBreak/>
        <w:t xml:space="preserve">zaten bir suç konusu oluşturmayacağına işaret etmiştir ki nitekim daha </w:t>
      </w:r>
      <w:r w:rsidR="002B543A" w:rsidRPr="00C47AC0">
        <w:rPr>
          <w:rFonts w:ascii="Palatino Linotype" w:eastAsia="Calibri" w:hAnsi="Palatino Linotype" w:cs="Times New Roman"/>
          <w:b/>
          <w:bCs/>
          <w:iCs/>
          <w:kern w:val="2"/>
          <w:lang w:val="tr"/>
          <w14:ligatures w14:val="standardContextual"/>
        </w:rPr>
        <w:t xml:space="preserve">önce </w:t>
      </w:r>
      <w:r w:rsidR="0000224F" w:rsidRPr="00C47AC0">
        <w:rPr>
          <w:rFonts w:ascii="Palatino Linotype" w:eastAsia="Calibri" w:hAnsi="Palatino Linotype" w:cs="Times New Roman"/>
          <w:b/>
          <w:bCs/>
          <w:iCs/>
          <w:kern w:val="2"/>
          <w:lang w:val="tr"/>
          <w14:ligatures w14:val="standardContextual"/>
        </w:rPr>
        <w:t>Taner Kılı</w:t>
      </w:r>
      <w:r w:rsidR="002B543A" w:rsidRPr="00C47AC0">
        <w:rPr>
          <w:rFonts w:ascii="Palatino Linotype" w:eastAsia="Calibri" w:hAnsi="Palatino Linotype" w:cs="Times New Roman"/>
          <w:b/>
          <w:bCs/>
          <w:iCs/>
          <w:kern w:val="2"/>
          <w:lang w:val="tr"/>
          <w14:ligatures w14:val="standardContextual"/>
        </w:rPr>
        <w:t>ç</w:t>
      </w:r>
      <w:r w:rsidR="0000224F" w:rsidRPr="00C47AC0">
        <w:rPr>
          <w:rFonts w:ascii="Palatino Linotype" w:eastAsia="Calibri" w:hAnsi="Palatino Linotype" w:cs="Times New Roman"/>
          <w:b/>
          <w:bCs/>
          <w:iCs/>
          <w:kern w:val="2"/>
          <w:lang w:val="tr"/>
          <w14:ligatures w14:val="standardContextual"/>
        </w:rPr>
        <w:t xml:space="preserve">, Alparslan Altan, Mehmet Altan vb birçok başvuruda delil diye sunulan çocuğunu okula gönderme, gazete aboneliği, </w:t>
      </w:r>
      <w:r w:rsidR="002B543A" w:rsidRPr="00C47AC0">
        <w:rPr>
          <w:rFonts w:ascii="Palatino Linotype" w:eastAsia="Calibri" w:hAnsi="Palatino Linotype" w:cs="Times New Roman"/>
          <w:b/>
          <w:bCs/>
          <w:iCs/>
          <w:kern w:val="2"/>
          <w:lang w:val="tr"/>
          <w14:ligatures w14:val="standardContextual"/>
        </w:rPr>
        <w:t xml:space="preserve">köşe yazısı yazma, medyada program yapma, </w:t>
      </w:r>
      <w:r w:rsidR="0000224F" w:rsidRPr="00C47AC0">
        <w:rPr>
          <w:rFonts w:ascii="Palatino Linotype" w:eastAsia="Calibri" w:hAnsi="Palatino Linotype" w:cs="Times New Roman"/>
          <w:b/>
          <w:bCs/>
          <w:iCs/>
          <w:kern w:val="2"/>
          <w:lang w:val="tr"/>
          <w14:ligatures w14:val="standardContextual"/>
        </w:rPr>
        <w:t>sosyal çevre vb hususlarda</w:t>
      </w:r>
      <w:r w:rsidR="002B543A" w:rsidRPr="00C47AC0">
        <w:rPr>
          <w:rFonts w:ascii="Palatino Linotype" w:eastAsia="Calibri" w:hAnsi="Palatino Linotype" w:cs="Times New Roman"/>
          <w:b/>
          <w:bCs/>
          <w:iCs/>
          <w:kern w:val="2"/>
          <w:lang w:val="tr"/>
          <w14:ligatures w14:val="standardContextual"/>
        </w:rPr>
        <w:t xml:space="preserve"> da ihlal tespiti yapmış ve Yalçınkaya dosyasında da bu anılan kararlara göndermede bulunmuştur.</w:t>
      </w:r>
      <w:r w:rsidR="0000224F" w:rsidRPr="00C47AC0">
        <w:rPr>
          <w:rFonts w:ascii="Palatino Linotype" w:eastAsia="Calibri" w:hAnsi="Palatino Linotype" w:cs="Times New Roman"/>
          <w:b/>
          <w:bCs/>
          <w:iCs/>
          <w:kern w:val="2"/>
          <w:lang w:val="tr"/>
          <w14:ligatures w14:val="standardContextual"/>
        </w:rPr>
        <w:t xml:space="preserve"> </w:t>
      </w:r>
    </w:p>
    <w:p w14:paraId="71343CE5" w14:textId="122D37E2"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b/>
          <w:bCs/>
          <w:iCs/>
          <w:kern w:val="2"/>
          <w:lang w:val="tr"/>
          <w14:ligatures w14:val="standardContextual"/>
        </w:rPr>
        <w:t>AİHM, Ceza Kanunu'nun 314</w:t>
      </w:r>
      <w:r w:rsidR="009F0FBE"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2</w:t>
      </w:r>
      <w:r w:rsidR="009F0FBE"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 xml:space="preserve"> maddesi ve Terörle Mücadele Kanunu hükümlerinin nasıl uygulanması gerektiğine ilişkin bu öngörülemeyen ve geniş yorumun etkisinin, yalnızca ByLock kullanımına dayalı neredeyse otomatik bir suç karinesi oluşturmak ve başvuranın kendisini suçlamalardan aklamasını neredeyse imkansız hale getirmek sonucunu doğurduğunu </w:t>
      </w:r>
      <w:r w:rsidRPr="00C47AC0">
        <w:rPr>
          <w:rFonts w:ascii="Palatino Linotype" w:hAnsi="Palatino Linotype" w:cs="Times New Roman"/>
          <w:b/>
          <w:bCs/>
          <w:iCs/>
          <w:lang w:val="tr"/>
        </w:rPr>
        <w:t>söylemiştir</w:t>
      </w:r>
      <w:r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w:t>
      </w:r>
      <w:r w:rsidR="00ED0C78"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 xml:space="preserve"> 242,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268).</w:t>
      </w:r>
    </w:p>
    <w:p w14:paraId="7C111B24" w14:textId="1CCC35C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Sözleşme’nin 7. Maddesinin, hiç kimsenin keyfi kovuşturmaya, mahkûmiyete veya cezalandırmaya maruz kalmamasını sağlamayı amaçladığını, suçun olgusal temeli ne olursa olsun, bu maddenin amaç ve hedefine uygun olarak hukuki kesinliğe ilişkin maddi</w:t>
      </w:r>
      <w:r w:rsidR="002B543A"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güvencelerin </w:t>
      </w:r>
      <w:r w:rsidRPr="00C47AC0">
        <w:rPr>
          <w:rFonts w:ascii="Palatino Linotype" w:hAnsi="Palatino Linotype" w:cs="Times New Roman"/>
          <w:iCs/>
          <w:lang w:val="tr"/>
        </w:rPr>
        <w:t>karşılanması</w:t>
      </w:r>
      <w:r w:rsidRPr="00C47AC0">
        <w:rPr>
          <w:rFonts w:ascii="Palatino Linotype" w:eastAsia="Calibri" w:hAnsi="Palatino Linotype" w:cs="Times New Roman"/>
          <w:iCs/>
          <w:kern w:val="2"/>
          <w:lang w:val="tr"/>
          <w14:ligatures w14:val="standardContextual"/>
        </w:rPr>
        <w:t xml:space="preserve"> gerektiğini vurgulamıştır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268).</w:t>
      </w:r>
    </w:p>
    <w:p w14:paraId="374B4152" w14:textId="4C20A440"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hukukun üstünlüğü ilkesinin özünde yer alan ve sınırlandırılamaz bir hak olan Sözleşme'nin 7. maddesinde düzenlenen temel güvencelerin, ulusun yaşamını tehdit eden koşullarda işlendiği iddia edilse bile, terör suçlarının kovuşturulması ve cezalandırılması söz konusu olduğunda daha az katı bir şekilde uygulanabileceği anlamına gelmediğini vurgulamıştır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270).</w:t>
      </w:r>
    </w:p>
    <w:p w14:paraId="5D15A966" w14:textId="02C048E0"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Sözleşme, en zor koşullar da dahil olmak üzere, 7. madde güvencelerine riayet edilmesini </w:t>
      </w:r>
      <w:r w:rsidRPr="00C47AC0">
        <w:rPr>
          <w:rFonts w:ascii="Palatino Linotype" w:hAnsi="Palatino Linotype" w:cs="Times New Roman"/>
          <w:iCs/>
          <w:lang w:val="tr"/>
        </w:rPr>
        <w:t>gerektirmektedir</w:t>
      </w:r>
      <w:r w:rsidRPr="00C47AC0">
        <w:rPr>
          <w:rFonts w:ascii="Palatino Linotype" w:eastAsia="Calibri" w:hAnsi="Palatino Linotype" w:cs="Times New Roman"/>
          <w:iCs/>
          <w:kern w:val="2"/>
          <w:lang w:val="tr"/>
          <w14:ligatures w14:val="standardContextual"/>
        </w:rPr>
        <w:t xml:space="preserve">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270).</w:t>
      </w:r>
    </w:p>
    <w:p w14:paraId="23109A41" w14:textId="753DE329"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b/>
          <w:bCs/>
          <w:iCs/>
          <w:kern w:val="2"/>
          <w:lang w:val="tr"/>
          <w14:ligatures w14:val="standardContextual"/>
        </w:rPr>
        <w:t xml:space="preserve">AİHM, ulusal mahkemeler tarafından, Ceza Kanunu ve Terörle Mücadele Kanunu'nun ilgili hükümlerinin geniş yorumlandığını, bu nedenle ByLock kullanımının silahlı terör örgütü üyeliği anlamına geldiğinin tespit edildiğini, başvuranın özel durumunda iç hukuktaki suçun yasal tanımı kapsamında gerekli olan bilgi ve kastın varlığının tespit edilmediğini, sadece ByLock kullanımına etkili bir şekilde objektif sorumluluk yüklendiğini belirlemiştir. </w:t>
      </w:r>
      <w:r w:rsidRPr="00C47AC0">
        <w:rPr>
          <w:rFonts w:ascii="Palatino Linotype" w:eastAsia="Calibri" w:hAnsi="Palatino Linotype" w:cs="Times New Roman"/>
          <w:iCs/>
          <w:kern w:val="2"/>
          <w:lang w:val="tr"/>
          <w14:ligatures w14:val="standardContextual"/>
        </w:rPr>
        <w:t>Mahkeme, ulusal mahkemeler tarafından kanunun bu şekilde geniş ve öngörülemez bir şekilde yorumlanmasının, suçun kurucu unsurlarını - özellikle de zihinsel unsurları - bir kenara bırakma ve bu suçu katı bir sorumluluk suçuna benzetme ve böylece iç hukukta açıkça belirtilen gerekliliklerden ayrılma etkisi yarattığı görüşündedir. Dolayısıyla suçun kapsamı, 7. maddenin amaç ve hedefine aykırı olarak, öngörülemeyen bir şekilde başvuranın aleyhine genişletilmiştir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271).</w:t>
      </w:r>
    </w:p>
    <w:p w14:paraId="7861A7E2" w14:textId="7B4BB9FE" w:rsidR="003B35EE" w:rsidRPr="00C47AC0" w:rsidRDefault="003B35EE" w:rsidP="00ED0C78">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iCs/>
          <w:kern w:val="2"/>
          <w:lang w:val="tr"/>
          <w14:ligatures w14:val="standardContextual"/>
        </w:rPr>
        <w:lastRenderedPageBreak/>
        <w:t xml:space="preserve">Mahkeme, yukarıda belirtilenler ışığında, Sözleşme'nin 7. maddesinin ihlal edildiği sonucuna </w:t>
      </w:r>
      <w:r w:rsidRPr="00C47AC0">
        <w:rPr>
          <w:rFonts w:ascii="Palatino Linotype" w:hAnsi="Palatino Linotype" w:cs="Times New Roman"/>
          <w:iCs/>
          <w:lang w:val="tr"/>
        </w:rPr>
        <w:t>varmıştır</w:t>
      </w:r>
      <w:r w:rsidRPr="00C47AC0">
        <w:rPr>
          <w:rFonts w:ascii="Palatino Linotype" w:eastAsia="Calibri" w:hAnsi="Palatino Linotype" w:cs="Times New Roman"/>
          <w:iCs/>
          <w:kern w:val="2"/>
          <w:lang w:val="tr"/>
          <w14:ligatures w14:val="standardContextual"/>
        </w:rPr>
        <w:t xml:space="preserve">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272).</w:t>
      </w:r>
    </w:p>
    <w:p w14:paraId="55728CC0" w14:textId="4BC30418" w:rsidR="003B35EE" w:rsidRPr="00C47AC0" w:rsidRDefault="002B543A" w:rsidP="002B543A">
      <w:pPr>
        <w:spacing w:line="360" w:lineRule="auto"/>
        <w:contextualSpacing/>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 xml:space="preserve">b) </w:t>
      </w:r>
      <w:r w:rsidR="003B35EE" w:rsidRPr="00C47AC0">
        <w:rPr>
          <w:rFonts w:ascii="Palatino Linotype" w:eastAsia="Calibri" w:hAnsi="Palatino Linotype" w:cs="Times New Roman"/>
          <w:b/>
          <w:bCs/>
          <w:iCs/>
          <w:kern w:val="2"/>
          <w:lang w:val="tr"/>
          <w14:ligatures w14:val="standardContextual"/>
        </w:rPr>
        <w:t>AİHM’in Sözleşme’nin 6. Maddesi ile İlgili Tespitleri ve İhlal Gerekçesi</w:t>
      </w:r>
    </w:p>
    <w:p w14:paraId="0308536B" w14:textId="77777777" w:rsidR="003E157F" w:rsidRPr="00C47AC0" w:rsidRDefault="003B35EE" w:rsidP="00576B48">
      <w:pPr>
        <w:pStyle w:val="ListeParagraf"/>
        <w:numPr>
          <w:ilvl w:val="0"/>
          <w:numId w:val="2"/>
        </w:numPr>
        <w:tabs>
          <w:tab w:val="left" w:pos="3870"/>
        </w:tabs>
        <w:spacing w:line="360" w:lineRule="auto"/>
        <w:ind w:left="720" w:right="-378"/>
        <w:jc w:val="both"/>
        <w:rPr>
          <w:rFonts w:ascii="Palatino Linotype" w:eastAsia="Calibri" w:hAnsi="Palatino Linotype" w:cs="Times New Roman"/>
          <w:i/>
          <w:kern w:val="2"/>
          <w:lang w:val="tr"/>
          <w14:ligatures w14:val="standardContextual"/>
        </w:rPr>
      </w:pPr>
      <w:r w:rsidRPr="00C47AC0">
        <w:rPr>
          <w:rFonts w:ascii="Palatino Linotype" w:hAnsi="Palatino Linotype" w:cs="Times New Roman"/>
          <w:iCs/>
          <w:lang w:val="tr"/>
        </w:rPr>
        <w:t>Sözleşme'nin</w:t>
      </w:r>
      <w:r w:rsidRPr="00C47AC0">
        <w:rPr>
          <w:rFonts w:ascii="Palatino Linotype" w:eastAsia="Calibri" w:hAnsi="Palatino Linotype" w:cs="Times New Roman"/>
          <w:iCs/>
          <w:kern w:val="2"/>
          <w:lang w:val="tr"/>
          <w14:ligatures w14:val="standardContextual"/>
        </w:rPr>
        <w:t xml:space="preserve"> 6 § 1 maddesinin ilgili kısımları aşağıdaki gibidir:</w:t>
      </w:r>
    </w:p>
    <w:p w14:paraId="43FCD7F5" w14:textId="722F8C4B" w:rsidR="003B35EE" w:rsidRPr="00C47AC0" w:rsidRDefault="003B35EE" w:rsidP="003E157F">
      <w:pPr>
        <w:pStyle w:val="ListeParagraf"/>
        <w:tabs>
          <w:tab w:val="left" w:pos="3870"/>
        </w:tabs>
        <w:spacing w:line="360" w:lineRule="auto"/>
        <w:ind w:right="-378"/>
        <w:jc w:val="both"/>
        <w:rPr>
          <w:rFonts w:ascii="Palatino Linotype" w:eastAsia="Calibri" w:hAnsi="Palatino Linotype" w:cs="Times New Roman"/>
          <w:i/>
          <w:kern w:val="2"/>
          <w:lang w:val="tr"/>
          <w14:ligatures w14:val="standardContextual"/>
        </w:rPr>
      </w:pPr>
      <w:r w:rsidRPr="00C47AC0">
        <w:rPr>
          <w:rFonts w:ascii="Palatino Linotype" w:eastAsia="Calibri" w:hAnsi="Palatino Linotype" w:cs="Times New Roman"/>
          <w:i/>
          <w:kern w:val="2"/>
          <w:lang w:val="tr"/>
          <w14:ligatures w14:val="standardContextual"/>
        </w:rPr>
        <w:t>"Herkes, kendisine yöneltilen herhangi bir suç isnadının ... karara bağlanmasında, ... yasayla kurulmuş bir mahkeme tarafından ... adil bir ... duruşma yapılmasını isteme hakkına sahiptir. ..." (</w:t>
      </w:r>
      <w:r w:rsidR="00ED0C78" w:rsidRPr="00C47AC0">
        <w:rPr>
          <w:rFonts w:ascii="Palatino Linotype" w:eastAsia="Calibri" w:hAnsi="Palatino Linotype" w:cs="Times New Roman"/>
          <w:i/>
          <w:kern w:val="2"/>
          <w:lang w:val="tr"/>
          <w14:ligatures w14:val="standardContextual"/>
        </w:rPr>
        <w:t>§</w:t>
      </w:r>
      <w:r w:rsidRPr="00C47AC0">
        <w:rPr>
          <w:rFonts w:ascii="Palatino Linotype" w:eastAsia="Calibri" w:hAnsi="Palatino Linotype" w:cs="Times New Roman"/>
          <w:i/>
          <w:kern w:val="2"/>
          <w:lang w:val="tr"/>
          <w14:ligatures w14:val="standardContextual"/>
        </w:rPr>
        <w:t xml:space="preserve"> 274).</w:t>
      </w:r>
    </w:p>
    <w:p w14:paraId="55F5AD57" w14:textId="3FCDF7FE"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6. madde kapsamındaki mevcut incelemesinin amaçları doğrultusunda, itiraz edilen delilin (ByLock) gerçekten iç hukuk açısından yasal olarak elde edilip edilmediğini ve kabul edilebilir olup olmadığını ya da ulusal mahkemelerin ilgili delili değerlendirirken herhangi bir maddi hata yapıp yapmadığını belirlemenin gerekli olmadığını, görevinin, daha ziyade yargılamanın bir bütün olarak adilliğini değerlendirmek olduğunu vurgulamıştır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310). </w:t>
      </w:r>
    </w:p>
    <w:p w14:paraId="433A60E9" w14:textId="7C60FB13" w:rsidR="008E10E0"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b/>
          <w:bCs/>
          <w:iCs/>
          <w:lang w:val="tr"/>
        </w:rPr>
        <w:t>AİHM</w:t>
      </w:r>
      <w:r w:rsidRPr="00C47AC0">
        <w:rPr>
          <w:rFonts w:ascii="Palatino Linotype" w:eastAsia="Calibri" w:hAnsi="Palatino Linotype" w:cs="Times New Roman"/>
          <w:b/>
          <w:bCs/>
          <w:iCs/>
          <w:kern w:val="2"/>
          <w:lang w:val="tr"/>
          <w14:ligatures w14:val="standardContextual"/>
        </w:rPr>
        <w:t>, dava dosyasındaki bilgilerden, ulusal mahkemeler ve Hükümet tarafından MİT'in faaliyetlerinin yasal dayanağı olarak ileri sürülen İstihbarat Hizmetleri Kanunu'nun 4 (1) ve 6 (1) maddelerinin, bağımsız yetkilendirme veya gözetim de dahil olmak üzere, elektronik delillerin toplanmasıyla ilgili olarak CMK'nın 134. maddesinde belirtilenlere benzer usuli güvenceler öngörmediğine eleştiri getirmiştir.</w:t>
      </w:r>
      <w:r w:rsidR="008E10E0" w:rsidRPr="00C47AC0">
        <w:rPr>
          <w:rFonts w:ascii="Palatino Linotype" w:eastAsia="Calibri" w:hAnsi="Palatino Linotype" w:cs="Times New Roman"/>
          <w:iCs/>
          <w:kern w:val="2"/>
          <w:lang w:val="tr"/>
          <w14:ligatures w14:val="standardContextual"/>
        </w:rPr>
        <w:t xml:space="preserve">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008E10E0" w:rsidRPr="00C47AC0">
        <w:rPr>
          <w:rFonts w:ascii="Palatino Linotype" w:eastAsia="Calibri" w:hAnsi="Palatino Linotype" w:cs="Times New Roman"/>
          <w:iCs/>
          <w:kern w:val="2"/>
          <w:lang w:val="tr"/>
          <w14:ligatures w14:val="standardContextual"/>
        </w:rPr>
        <w:t>317).</w:t>
      </w:r>
      <w:r w:rsidRPr="00C47AC0">
        <w:rPr>
          <w:rFonts w:ascii="Palatino Linotype" w:eastAsia="Calibri" w:hAnsi="Palatino Linotype" w:cs="Times New Roman"/>
          <w:iCs/>
          <w:kern w:val="2"/>
          <w:lang w:val="tr"/>
          <w14:ligatures w14:val="standardContextual"/>
        </w:rPr>
        <w:t xml:space="preserve"> </w:t>
      </w:r>
      <w:r w:rsidR="003E157F" w:rsidRPr="00C47AC0">
        <w:rPr>
          <w:rFonts w:ascii="Palatino Linotype" w:eastAsia="Calibri" w:hAnsi="Palatino Linotype" w:cs="Times New Roman"/>
          <w:iCs/>
          <w:kern w:val="2"/>
          <w:lang w:val="tr"/>
          <w14:ligatures w14:val="standardContextual"/>
        </w:rPr>
        <w:t xml:space="preserve">AİHM’in MİT verilerinin güvenilirliğini sağlayan bağımsız bir adli denetim mekanizmasının olmaması ile ilgili tespiti oldukça önemli olup, </w:t>
      </w:r>
      <w:r w:rsidR="003E157F" w:rsidRPr="00C47AC0">
        <w:rPr>
          <w:rFonts w:ascii="Palatino Linotype" w:eastAsia="Calibri" w:hAnsi="Palatino Linotype" w:cs="Times New Roman"/>
          <w:i/>
          <w:kern w:val="2"/>
          <w:lang w:val="tr"/>
          <w14:ligatures w14:val="standardContextual"/>
        </w:rPr>
        <w:t>her ne kadar görevim değil diyerek AİHM bu tartışmaya girmekten kaçınmış ise de,</w:t>
      </w:r>
      <w:r w:rsidR="003E157F" w:rsidRPr="00C47AC0">
        <w:rPr>
          <w:rFonts w:ascii="Palatino Linotype" w:eastAsia="Calibri" w:hAnsi="Palatino Linotype" w:cs="Times New Roman"/>
          <w:iCs/>
          <w:kern w:val="2"/>
          <w:lang w:val="tr"/>
          <w14:ligatures w14:val="standardContextual"/>
        </w:rPr>
        <w:t xml:space="preserve"> </w:t>
      </w:r>
      <w:r w:rsidR="008E10E0" w:rsidRPr="00C47AC0">
        <w:rPr>
          <w:rFonts w:ascii="Palatino Linotype" w:eastAsia="Calibri" w:hAnsi="Palatino Linotype" w:cs="Times New Roman"/>
          <w:iCs/>
          <w:kern w:val="2"/>
          <w:lang w:val="tr"/>
          <w14:ligatures w14:val="standardContextual"/>
        </w:rPr>
        <w:t xml:space="preserve">bu nedenle de birçok ulusal kanuna ve mahkeme içtihadına göre istihbarı deliller adli delil olarak değerlendirilemez  </w:t>
      </w:r>
    </w:p>
    <w:p w14:paraId="4D07CC8E" w14:textId="3BE018A3" w:rsidR="003B35EE" w:rsidRPr="00C47AC0" w:rsidRDefault="00F95FC5"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w:t>
      </w:r>
      <w:r w:rsidR="003B35EE" w:rsidRPr="00C47AC0">
        <w:rPr>
          <w:rFonts w:ascii="Palatino Linotype" w:eastAsia="Calibri" w:hAnsi="Palatino Linotype" w:cs="Times New Roman"/>
          <w:iCs/>
          <w:kern w:val="2"/>
          <w:lang w:val="tr"/>
          <w14:ligatures w14:val="standardContextual"/>
        </w:rPr>
        <w:t xml:space="preserve">dava dosyasındaki hiçbir şey, Ankara </w:t>
      </w:r>
      <w:r w:rsidR="00ED0C78" w:rsidRPr="00C47AC0">
        <w:rPr>
          <w:rFonts w:ascii="Palatino Linotype" w:eastAsia="Calibri" w:hAnsi="Palatino Linotype" w:cs="Times New Roman"/>
          <w:iCs/>
          <w:kern w:val="2"/>
          <w:lang w:val="tr"/>
          <w14:ligatures w14:val="standardContextual"/>
        </w:rPr>
        <w:t>4.</w:t>
      </w:r>
      <w:r w:rsidR="003B35EE" w:rsidRPr="00C47AC0">
        <w:rPr>
          <w:rFonts w:ascii="Palatino Linotype" w:eastAsia="Calibri" w:hAnsi="Palatino Linotype" w:cs="Times New Roman"/>
          <w:iCs/>
          <w:kern w:val="2"/>
          <w:lang w:val="tr"/>
          <w14:ligatures w14:val="standardContextual"/>
        </w:rPr>
        <w:t xml:space="preserve"> Sulh Ceza Mahkemesi'nin ByLock verilerinin CMK'nın 134. maddesi uyarınca incelenmesine yönelik müteakip kararının, MİT'in veri toplama faaliyetinin </w:t>
      </w:r>
      <w:r w:rsidR="003B35EE" w:rsidRPr="00C47AC0">
        <w:rPr>
          <w:rFonts w:ascii="Palatino Linotype" w:eastAsia="Calibri" w:hAnsi="Palatino Linotype" w:cs="Times New Roman"/>
          <w:i/>
          <w:iCs/>
          <w:kern w:val="2"/>
          <w:lang w:val="tr"/>
          <w14:ligatures w14:val="standardContextual"/>
        </w:rPr>
        <w:t xml:space="preserve">post factum </w:t>
      </w:r>
      <w:r w:rsidR="003B35EE" w:rsidRPr="00C47AC0">
        <w:rPr>
          <w:rFonts w:ascii="Palatino Linotype" w:eastAsia="Calibri" w:hAnsi="Palatino Linotype" w:cs="Times New Roman"/>
          <w:iCs/>
          <w:kern w:val="2"/>
          <w:lang w:val="tr"/>
          <w14:ligatures w14:val="standardContextual"/>
        </w:rPr>
        <w:t xml:space="preserve">yargısal denetimini içerdiğini göstermemektedir. </w:t>
      </w:r>
      <w:r w:rsidR="003B35EE" w:rsidRPr="00C47AC0">
        <w:rPr>
          <w:rFonts w:ascii="Palatino Linotype" w:eastAsia="Calibri" w:hAnsi="Palatino Linotype" w:cs="Times New Roman"/>
          <w:b/>
          <w:bCs/>
          <w:iCs/>
          <w:kern w:val="2"/>
          <w:lang w:val="tr"/>
          <w14:ligatures w14:val="standardContextual"/>
        </w:rPr>
        <w:t>Bu temelde ve MİT'in ilgili verileri adli makamlara sunmadan önce aylarca tuttuğu göz önüne alındığında, Mahkeme, başvuranın ByLock verilerinin güvenilirliğine ilişkin şüphelerinin soyut veya temelsiz olarak kolayca göz ardı edilebileceği konusunda Hükümet ile aynı fikirde değildir.</w:t>
      </w:r>
      <w:r w:rsidR="003B35EE" w:rsidRPr="00C47AC0">
        <w:rPr>
          <w:rFonts w:ascii="Palatino Linotype" w:eastAsia="Calibri" w:hAnsi="Palatino Linotype" w:cs="Times New Roman"/>
          <w:iCs/>
          <w:kern w:val="2"/>
          <w:lang w:val="tr"/>
          <w14:ligatures w14:val="standardContextual"/>
        </w:rPr>
        <w:t xml:space="preserve"> Mahkeme, MİT veya adli makamlar tarafından bu şüpheleri gidermek için herhangi bir önlem alınıp alınmadığını inceleme</w:t>
      </w:r>
      <w:r w:rsidRPr="00C47AC0">
        <w:rPr>
          <w:rFonts w:ascii="Palatino Linotype" w:eastAsia="Calibri" w:hAnsi="Palatino Linotype" w:cs="Times New Roman"/>
          <w:iCs/>
          <w:kern w:val="2"/>
          <w:lang w:val="tr"/>
          <w14:ligatures w14:val="standardContextual"/>
        </w:rPr>
        <w:t>den</w:t>
      </w:r>
      <w:r w:rsidR="003B35EE" w:rsidRPr="00C47AC0">
        <w:rPr>
          <w:rFonts w:ascii="Palatino Linotype" w:eastAsia="Calibri" w:hAnsi="Palatino Linotype" w:cs="Times New Roman"/>
          <w:iCs/>
          <w:kern w:val="2"/>
          <w:lang w:val="tr"/>
          <w14:ligatures w14:val="standardContextual"/>
        </w:rPr>
        <w:t xml:space="preserve"> karar vermiştir </w:t>
      </w:r>
      <w:bookmarkStart w:id="0" w:name="_Hlk147072324"/>
      <w:r w:rsidR="003B35EE"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003B35EE" w:rsidRPr="00C47AC0">
        <w:rPr>
          <w:rFonts w:ascii="Palatino Linotype" w:eastAsia="Calibri" w:hAnsi="Palatino Linotype" w:cs="Times New Roman"/>
          <w:iCs/>
          <w:kern w:val="2"/>
          <w:lang w:val="tr"/>
          <w14:ligatures w14:val="standardContextual"/>
        </w:rPr>
        <w:t>317).</w:t>
      </w:r>
      <w:bookmarkEnd w:id="0"/>
      <w:r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AİHM’in ByLock verilerinin denetimsiz bir biçimde aylarca MİT’te tutulmasını güvenli bir kanıt olarak görmediği bu tespitler ile ortaya konulmuştur.</w:t>
      </w:r>
    </w:p>
    <w:p w14:paraId="3F3F3748" w14:textId="5E107F4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lastRenderedPageBreak/>
        <w:t xml:space="preserve">AİHM, </w:t>
      </w:r>
      <w:r w:rsidRPr="00C47AC0">
        <w:rPr>
          <w:rFonts w:ascii="Palatino Linotype" w:hAnsi="Palatino Linotype" w:cs="Times New Roman"/>
          <w:b/>
          <w:bCs/>
          <w:iCs/>
          <w:lang w:val="tr"/>
        </w:rPr>
        <w:t>ByLock</w:t>
      </w:r>
      <w:r w:rsidRPr="00C47AC0">
        <w:rPr>
          <w:rFonts w:ascii="Palatino Linotype" w:eastAsia="Calibri" w:hAnsi="Palatino Linotype" w:cs="Times New Roman"/>
          <w:b/>
          <w:bCs/>
          <w:iCs/>
          <w:kern w:val="2"/>
          <w:lang w:val="tr"/>
          <w14:ligatures w14:val="standardContextual"/>
        </w:rPr>
        <w:t xml:space="preserve"> verilerinin MİT tarafından alındığı koşulların, adli makamlara teslim edilene kadar bütünlüklerini sağlamaya yönelik özel usuli güvencelerin yokluğunda </w:t>
      </w:r>
      <w:r w:rsidRPr="005A714C">
        <w:rPr>
          <w:rFonts w:ascii="Palatino Linotype" w:eastAsia="Calibri" w:hAnsi="Palatino Linotype" w:cs="Times New Roman"/>
          <w:b/>
          <w:bCs/>
          <w:i/>
          <w:kern w:val="2"/>
          <w:lang w:val="tr"/>
          <w14:ligatures w14:val="standardContextual"/>
        </w:rPr>
        <w:t>"kaliteleri"</w:t>
      </w:r>
      <w:r w:rsidRPr="00C47AC0">
        <w:rPr>
          <w:rFonts w:ascii="Palatino Linotype" w:eastAsia="Calibri" w:hAnsi="Palatino Linotype" w:cs="Times New Roman"/>
          <w:b/>
          <w:bCs/>
          <w:iCs/>
          <w:kern w:val="2"/>
          <w:lang w:val="tr"/>
          <w14:ligatures w14:val="standardContextual"/>
        </w:rPr>
        <w:t xml:space="preserve"> konusunda </w:t>
      </w:r>
      <w:r w:rsidRPr="00C47AC0">
        <w:rPr>
          <w:rFonts w:ascii="Palatino Linotype" w:eastAsia="Calibri" w:hAnsi="Palatino Linotype" w:cs="Times New Roman"/>
          <w:b/>
          <w:bCs/>
          <w:i/>
          <w:iCs/>
          <w:kern w:val="2"/>
          <w:lang w:val="tr"/>
          <w14:ligatures w14:val="standardContextual"/>
        </w:rPr>
        <w:t xml:space="preserve">ilk bakışta </w:t>
      </w:r>
      <w:r w:rsidRPr="00C47AC0">
        <w:rPr>
          <w:rFonts w:ascii="Palatino Linotype" w:eastAsia="Calibri" w:hAnsi="Palatino Linotype" w:cs="Times New Roman"/>
          <w:b/>
          <w:bCs/>
          <w:iCs/>
          <w:kern w:val="2"/>
          <w:lang w:val="tr"/>
          <w14:ligatures w14:val="standardContextual"/>
        </w:rPr>
        <w:t>şüphe uyandırdığı kabul etmekle beraber, bu verilerin doğruluğunu sorgulamak için yeterli unsurlara sahip olmadığını belirtmiştir (</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323).</w:t>
      </w:r>
      <w:r w:rsidR="00F95FC5" w:rsidRPr="00C47AC0">
        <w:rPr>
          <w:rFonts w:ascii="Palatino Linotype" w:eastAsia="Calibri" w:hAnsi="Palatino Linotype" w:cs="Times New Roman"/>
          <w:b/>
          <w:bCs/>
          <w:iCs/>
          <w:kern w:val="2"/>
          <w:lang w:val="tr"/>
          <w14:ligatures w14:val="standardContextual"/>
        </w:rPr>
        <w:t xml:space="preserve"> Bu anlatım ile AİHM, hükümetin “bu deliller ve içerikleri doğrudur” tezini oluşan şüphe nedeniyle kabul etmeyeceğini </w:t>
      </w:r>
      <w:r w:rsidR="00FF529C" w:rsidRPr="00C47AC0">
        <w:rPr>
          <w:rFonts w:ascii="Palatino Linotype" w:eastAsia="Calibri" w:hAnsi="Palatino Linotype" w:cs="Times New Roman"/>
          <w:b/>
          <w:bCs/>
          <w:iCs/>
          <w:kern w:val="2"/>
          <w:lang w:val="tr"/>
          <w14:ligatures w14:val="standardContextual"/>
        </w:rPr>
        <w:t xml:space="preserve">vurgulamış ve hatta </w:t>
      </w:r>
      <w:r w:rsidR="00FF529C" w:rsidRPr="00C47AC0">
        <w:rPr>
          <w:rFonts w:ascii="Palatino Linotype" w:eastAsia="Calibri" w:hAnsi="Palatino Linotype" w:cs="Times New Roman"/>
          <w:b/>
          <w:bCs/>
          <w:i/>
          <w:kern w:val="2"/>
          <w:lang w:val="tr"/>
          <w14:ligatures w14:val="standardContextual"/>
        </w:rPr>
        <w:t>“ilk bakışta şüphe uyandırdığı”</w:t>
      </w:r>
      <w:r w:rsidR="00FF529C" w:rsidRPr="00C47AC0">
        <w:rPr>
          <w:rFonts w:ascii="Palatino Linotype" w:eastAsia="Calibri" w:hAnsi="Palatino Linotype" w:cs="Times New Roman"/>
          <w:b/>
          <w:bCs/>
          <w:iCs/>
          <w:kern w:val="2"/>
          <w:lang w:val="tr"/>
          <w14:ligatures w14:val="standardContextual"/>
        </w:rPr>
        <w:t xml:space="preserve"> tespiti ile ByLock delilini bir yönü ile şaibeli bulmuştur.</w:t>
      </w:r>
    </w:p>
    <w:p w14:paraId="77389ADF" w14:textId="32F33D9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xml:space="preserve">, Hükümet'in ByLock ile ilgili verilerin başvurana verilmemesini haklı çıkarmak için neden göstermediğini, başvurana ulusal mahkemeler tarafından </w:t>
      </w:r>
      <w:r w:rsidRPr="00C47AC0">
        <w:rPr>
          <w:rFonts w:ascii="Palatino Linotype" w:eastAsia="Calibri" w:hAnsi="Palatino Linotype" w:cs="Times New Roman"/>
          <w:b/>
          <w:bCs/>
          <w:iCs/>
          <w:kern w:val="2"/>
          <w:lang w:val="tr"/>
          <w14:ligatures w14:val="standardContextual"/>
        </w:rPr>
        <w:t>ham verilerin - özellikle de kendisini ilgilendirdiği ölçüde - neden ve kimin kararıyla kendisinden saklandığına</w:t>
      </w:r>
      <w:r w:rsidRPr="00C47AC0">
        <w:rPr>
          <w:rFonts w:ascii="Palatino Linotype" w:eastAsia="Calibri" w:hAnsi="Palatino Linotype" w:cs="Times New Roman"/>
          <w:iCs/>
          <w:kern w:val="2"/>
          <w:lang w:val="tr"/>
          <w14:ligatures w14:val="standardContextual"/>
        </w:rPr>
        <w:t xml:space="preserve"> dair hiçbir açıklama yapılmadığını, başvuranın verilerin dava dosyasına kabul edilmesi talebinin basitçe cevapsız kaldığını, </w:t>
      </w:r>
      <w:r w:rsidRPr="00C47AC0">
        <w:rPr>
          <w:rFonts w:ascii="Palatino Linotype" w:eastAsia="Calibri" w:hAnsi="Palatino Linotype" w:cs="Times New Roman"/>
          <w:b/>
          <w:bCs/>
          <w:iCs/>
          <w:kern w:val="2"/>
          <w:lang w:val="tr"/>
          <w14:ligatures w14:val="standardContextual"/>
        </w:rPr>
        <w:t xml:space="preserve">ByLock kullanıcı listelerinin nasıl oluşturulduğu ve bireysel ByLock kullanıcılarına ilişkin ham verilerin neden izole edilemediği </w:t>
      </w:r>
      <w:r w:rsidRPr="00C47AC0">
        <w:rPr>
          <w:rFonts w:ascii="Palatino Linotype" w:eastAsia="Calibri" w:hAnsi="Palatino Linotype" w:cs="Times New Roman"/>
          <w:iCs/>
          <w:kern w:val="2"/>
          <w:lang w:val="tr"/>
          <w14:ligatures w14:val="standardContextual"/>
        </w:rPr>
        <w:t>ve ilgili kullanıcılarla paylaşılamadığı konusunda daha fazla bilgi sağlayan tamamlayıcı analiz raporunun aleyhindeki ceza yargılamaları sırasında başvurana sunulmadığını not etmiştir. Mahkemeye göre başvuran, bu gerekçelerin geçerliliğine itiraz etmek ya da çatışan menfaatler arasında adil bir denge kurmak ve savunma haklarını güvence altına almak için her türlü çabanın gösterildiğine itiraz etmek gibi herhangi bir karşı argüman sunma fırsatından mahrum bırakılmıştır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331). </w:t>
      </w:r>
    </w:p>
    <w:p w14:paraId="519A556C" w14:textId="49B0A27D"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başvuranın ham verilerin içeriğinin ve bütünlüğünün doğrulanması için bağımsız bir incelemeye sunulması talebinin de ulusal mahkemeler tarafından dikkate alınmadığını</w:t>
      </w:r>
      <w:r w:rsidR="00FF529C"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kaydetmiştir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332).</w:t>
      </w:r>
    </w:p>
    <w:p w14:paraId="28CBE62E" w14:textId="59FA6C4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ByLock kanıtlarının güvenilirliğine ilişkin başvuranın endişelerine aşağıdaki tespitler ile katılmıştır: </w:t>
      </w:r>
      <w:r w:rsidRPr="00C47AC0">
        <w:rPr>
          <w:rFonts w:ascii="Palatino Linotype" w:eastAsia="Calibri" w:hAnsi="Palatino Linotype" w:cs="Times New Roman"/>
          <w:b/>
          <w:bCs/>
          <w:iCs/>
          <w:kern w:val="2"/>
          <w:lang w:val="tr"/>
          <w14:ligatures w14:val="standardContextual"/>
        </w:rPr>
        <w:t>Mahkeme, MİT tarafından yayınlanan farklı ByLock kullanıcı listeleri arasındaki tutarsızlığın yanı sıra tespit edilen ve nihayetinde kovuşturulan kullanıcı sayısı ile indirme sayısı arasındaki tutarsızlık gibi hususların ulusal mahkemeler tarafından cevapsız bırakıldığını saptamıştır.</w:t>
      </w:r>
      <w:r w:rsidRPr="00C47AC0">
        <w:rPr>
          <w:rFonts w:ascii="Palatino Linotype" w:eastAsia="Calibri" w:hAnsi="Palatino Linotype" w:cs="Times New Roman"/>
          <w:iCs/>
          <w:kern w:val="2"/>
          <w:lang w:val="tr"/>
          <w14:ligatures w14:val="standardContextual"/>
        </w:rPr>
        <w:t xml:space="preserve"> Mahkeme, ilke olarak, savunmanın delillere doğrudan erişememesi ve bunların doğruluğunu ve güvenilirliğini ilk elden test edememesinin, ulusal mahkemelere bu konuları en kapsamlı incelemeye tabi tutma konusunda daha fazla sorumluluk yüklediğini düşünmektedir. Bu bağlamda başvuran, ulusal mahkemeler önünde sürekli olarak, verilerin doğruluğunu ve bütünlüğünü sağlamak için çeşitli güvenceler öngören CMK'nın 134. maddesi uyarınca ByLock verilerinin toplanmadığını veya kendisiyle paylaşılmadığını savunmuş ve </w:t>
      </w:r>
      <w:r w:rsidRPr="00C47AC0">
        <w:rPr>
          <w:rFonts w:ascii="Palatino Linotype" w:eastAsia="Calibri" w:hAnsi="Palatino Linotype" w:cs="Times New Roman"/>
          <w:iCs/>
          <w:kern w:val="2"/>
          <w:lang w:val="tr"/>
          <w14:ligatures w14:val="standardContextual"/>
        </w:rPr>
        <w:lastRenderedPageBreak/>
        <w:t xml:space="preserve">böylece bu delillerin yalnızca hukuka uygunluğuna değil aynı zamanda güvenilirliğine de itiraz etmek durumunda kalmıştır. Ancak Mahkeme, veri toplama prosedürünün hukuka uygunluğunu teyit etmek ve başvuranın ByLock sunucusuyla bağlantı kurduğunu doğrulamak dışında, ulusal mahkemelerin sunucudan elde edilen verilerin bütünlüğünün her açıdan - yani başvuranın bireysel kullanımı meselesinin ötesinde - özellikle 9 Aralık 2016 tarihinde adli makamlara iletilmeden önceki dönemde nasıl sağlandığı konusuna değinmediklerini belirtmektedir. Bu konunun ele alındığı başka herhangi bir karara veya prosedüre de atıfta bulunmamışlardır. </w:t>
      </w:r>
      <w:r w:rsidRPr="00C47AC0">
        <w:rPr>
          <w:rFonts w:ascii="Palatino Linotype" w:eastAsia="Calibri" w:hAnsi="Palatino Linotype" w:cs="Times New Roman"/>
          <w:b/>
          <w:bCs/>
          <w:iCs/>
          <w:kern w:val="2"/>
          <w:lang w:val="tr"/>
          <w14:ligatures w14:val="standardContextual"/>
        </w:rPr>
        <w:t>Daha spesifik olarak, ByLock verilerinin MİT tarafından toplanması ile sulh ceza mahkemesinin bunların incelenmesine yönelik müteakip kararı arasında, ByLock verilerinin zaten işlenmiş olduğu ve yalnızca istihbarat amacıyla değil, aynı zamanda başvuran da dahil olmak üzere şüphelilerin soruşturulması ve tutuklanması için suç delili olarak kullanıldığı gerçeğini hesaba katmamışlardır.</w:t>
      </w:r>
      <w:r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 xml:space="preserve">MİT'in ceza yargılamalarında delil olarak kullanılmak üzere veri toplama yetkisinin bulunmadığı ve 9 Aralık 2016 tarihinde verilen mahkeme kararının bu şekilde toplanan delilleri geriye dönük olarak </w:t>
      </w:r>
      <w:r w:rsidRPr="00C47AC0">
        <w:rPr>
          <w:rFonts w:ascii="Palatino Linotype" w:eastAsia="Calibri" w:hAnsi="Palatino Linotype" w:cs="Times New Roman"/>
          <w:b/>
          <w:bCs/>
          <w:i/>
          <w:kern w:val="2"/>
          <w:lang w:val="tr"/>
          <w14:ligatures w14:val="standardContextual"/>
        </w:rPr>
        <w:t>"hukuka uygun"</w:t>
      </w:r>
      <w:r w:rsidRPr="00C47AC0">
        <w:rPr>
          <w:rFonts w:ascii="Palatino Linotype" w:eastAsia="Calibri" w:hAnsi="Palatino Linotype" w:cs="Times New Roman"/>
          <w:b/>
          <w:bCs/>
          <w:iCs/>
          <w:kern w:val="2"/>
          <w:lang w:val="tr"/>
          <w14:ligatures w14:val="standardContextual"/>
        </w:rPr>
        <w:t xml:space="preserve"> ve güvenilir kılamayacağı yönündeki iddiaları ne Ankara Bölge Adliye Mahkemesi ne de Yargıtay tarafından incelenmiştir</w:t>
      </w:r>
      <w:r w:rsidRPr="00C47AC0">
        <w:rPr>
          <w:rFonts w:ascii="Palatino Linotype" w:eastAsia="Calibri" w:hAnsi="Palatino Linotype" w:cs="Times New Roman"/>
          <w:iCs/>
          <w:kern w:val="2"/>
          <w:lang w:val="tr"/>
          <w14:ligatures w14:val="standardContextual"/>
        </w:rPr>
        <w:t xml:space="preserve">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334).</w:t>
      </w:r>
    </w:p>
    <w:p w14:paraId="314A334D" w14:textId="3CD4E584"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ham verilerin başvuranla paylaşılması mümkün olmasa da, taraflar arasındaki </w:t>
      </w:r>
      <w:r w:rsidRPr="00C47AC0">
        <w:rPr>
          <w:rFonts w:ascii="Palatino Linotype" w:eastAsia="Calibri" w:hAnsi="Palatino Linotype" w:cs="Times New Roman"/>
          <w:i/>
          <w:kern w:val="2"/>
          <w:lang w:val="tr"/>
          <w14:ligatures w14:val="standardContextual"/>
        </w:rPr>
        <w:t xml:space="preserve">"adil </w:t>
      </w:r>
      <w:r w:rsidRPr="00C47AC0">
        <w:rPr>
          <w:rFonts w:ascii="Palatino Linotype" w:hAnsi="Palatino Linotype" w:cs="Times New Roman"/>
          <w:i/>
          <w:lang w:val="tr"/>
        </w:rPr>
        <w:t>denge</w:t>
      </w:r>
      <w:r w:rsidRPr="00C47AC0">
        <w:rPr>
          <w:rFonts w:ascii="Palatino Linotype" w:eastAsia="Calibri" w:hAnsi="Palatino Linotype" w:cs="Times New Roman"/>
          <w:i/>
          <w:kern w:val="2"/>
          <w:lang w:val="tr"/>
          <w14:ligatures w14:val="standardContextual"/>
        </w:rPr>
        <w:t>"</w:t>
      </w:r>
      <w:r w:rsidRPr="00C47AC0">
        <w:rPr>
          <w:rFonts w:ascii="Palatino Linotype" w:eastAsia="Calibri" w:hAnsi="Palatino Linotype" w:cs="Times New Roman"/>
          <w:iCs/>
          <w:kern w:val="2"/>
          <w:lang w:val="tr"/>
          <w14:ligatures w14:val="standardContextual"/>
        </w:rPr>
        <w:t xml:space="preserve"> gerekliliği, en azından yargılamanın, başvuranın, özellikle bu uygulama üzerindeki faaliyetlerinin niteliği ve içeriği de dahil olmak üzere, kendisiyle ilgili deşifre edilen materyalin tamamı hakkında yorum yapmasına olanak tanıyacak şekilde yürütülmelidir. Ancak, başvuranın mahkumiyetinden sonra dosyaya veriler dahil edilmiş ve başvuranın bu verilerin yokluğuna ilişkin itirazları da Yargıtay tarafından reddedilmiştir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335).</w:t>
      </w:r>
    </w:p>
    <w:p w14:paraId="069EDA7B" w14:textId="16F120C5"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Mahkeme</w:t>
      </w:r>
      <w:r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savunmanın maruz kaldığı önyargının, ulusal mahkemelerin ByLock delillerine ilişkin gerekçelerindeki eksikliklerle daha da arttığı kanaatindedir.</w:t>
      </w:r>
      <w:r w:rsidRPr="00C47AC0">
        <w:rPr>
          <w:rFonts w:ascii="Palatino Linotype" w:eastAsia="Calibri" w:hAnsi="Palatino Linotype" w:cs="Times New Roman"/>
          <w:iCs/>
          <w:kern w:val="2"/>
          <w:lang w:val="tr"/>
          <w14:ligatures w14:val="standardContextual"/>
        </w:rPr>
        <w:t xml:space="preserve"> Başvuranın, savcılığın elindeki ByLock verilerine dayanarak bu iddialara doğrudan itiraz edemediği ölçüde, ulusal mahkemelerin bunları yeterli ve ilgili gerekçelerle desteklemesi ve başvuranın bunların doğruluğuna ilişkin itirazlarını ele alması birincil öneme sahip olduğu halde, mahkemeler bunu yapmadılar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337).</w:t>
      </w:r>
    </w:p>
    <w:p w14:paraId="17305B6E" w14:textId="260C89D3"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b/>
          <w:bCs/>
          <w:iCs/>
          <w:kern w:val="2"/>
          <w:lang w:val="tr"/>
          <w14:ligatures w14:val="standardContextual"/>
        </w:rPr>
        <w:t xml:space="preserve">Mahkeme, </w:t>
      </w:r>
      <w:r w:rsidRPr="00C47AC0">
        <w:rPr>
          <w:rFonts w:ascii="Palatino Linotype" w:hAnsi="Palatino Linotype" w:cs="Times New Roman"/>
          <w:b/>
          <w:bCs/>
          <w:iCs/>
          <w:lang w:val="tr"/>
        </w:rPr>
        <w:t>başvuranın</w:t>
      </w:r>
      <w:r w:rsidRPr="00C47AC0">
        <w:rPr>
          <w:rFonts w:ascii="Palatino Linotype" w:eastAsia="Calibri" w:hAnsi="Palatino Linotype" w:cs="Times New Roman"/>
          <w:b/>
          <w:bCs/>
          <w:iCs/>
          <w:kern w:val="2"/>
          <w:lang w:val="tr"/>
          <w14:ligatures w14:val="standardContextual"/>
        </w:rPr>
        <w:t xml:space="preserve"> iç hukuk yargılamaları sırasında, ByLock uygulamasının 2016 yılının başlarına kadar - yani yaklaşık iki yıl boyunca - herhangi bir kontrol mekanizması olmaksızın halka açık uygulama mağazalarından veya sitelerinden indirilebildiğine dikkat çektiğini ve bunun münhasırlık argümanını zayıflattığını ve iddia edildiği gibi </w:t>
      </w:r>
      <w:r w:rsidRPr="00C47AC0">
        <w:rPr>
          <w:rFonts w:ascii="Palatino Linotype" w:eastAsia="Calibri" w:hAnsi="Palatino Linotype" w:cs="Times New Roman"/>
          <w:b/>
          <w:bCs/>
          <w:i/>
          <w:kern w:val="2"/>
          <w:lang w:val="tr"/>
          <w14:ligatures w14:val="standardContextual"/>
        </w:rPr>
        <w:t xml:space="preserve">"örgütsel </w:t>
      </w:r>
      <w:r w:rsidRPr="00C47AC0">
        <w:rPr>
          <w:rFonts w:ascii="Palatino Linotype" w:eastAsia="Calibri" w:hAnsi="Palatino Linotype" w:cs="Times New Roman"/>
          <w:b/>
          <w:bCs/>
          <w:i/>
          <w:kern w:val="2"/>
          <w:lang w:val="tr"/>
          <w14:ligatures w14:val="standardContextual"/>
        </w:rPr>
        <w:lastRenderedPageBreak/>
        <w:t>amaçlar"</w:t>
      </w:r>
      <w:r w:rsidRPr="00C47AC0">
        <w:rPr>
          <w:rFonts w:ascii="Palatino Linotype" w:eastAsia="Calibri" w:hAnsi="Palatino Linotype" w:cs="Times New Roman"/>
          <w:b/>
          <w:bCs/>
          <w:iCs/>
          <w:kern w:val="2"/>
          <w:lang w:val="tr"/>
          <w14:ligatures w14:val="standardContextual"/>
        </w:rPr>
        <w:t xml:space="preserve"> için kullanılıp kullanılmadığını doğrulamak için iddia edilen her kullanıcı için bu uygulama üzerinden gerçekleştirilen belirli faaliyetlerin incelenmesi gerektirdiğini not etmiştir</w:t>
      </w:r>
      <w:r w:rsidRPr="00C47AC0">
        <w:rPr>
          <w:rFonts w:ascii="Palatino Linotype" w:eastAsia="Calibri" w:hAnsi="Palatino Linotype" w:cs="Times New Roman"/>
          <w:iCs/>
          <w:kern w:val="2"/>
          <w:lang w:val="tr"/>
          <w14:ligatures w14:val="standardContextual"/>
        </w:rPr>
        <w:t xml:space="preserve">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338).</w:t>
      </w:r>
    </w:p>
    <w:p w14:paraId="35304E06" w14:textId="69EBF54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AİHM, ByLock kullanımının yalnızca belirli bir grupla sınırlandıracak nitelikte olmadığı, aslında yaygın olarak kullanılan birçok uygulamada bulunduğu, başvuranın ulusal mahkemeler önünde de dile getirdiği bir nokta olduğunu dosyadaki raporlarla kabul etmiştir (</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339).</w:t>
      </w:r>
      <w:r w:rsidR="00695C3D" w:rsidRPr="00C47AC0">
        <w:rPr>
          <w:rFonts w:ascii="Palatino Linotype" w:eastAsia="Calibri" w:hAnsi="Palatino Linotype" w:cs="Times New Roman"/>
          <w:b/>
          <w:bCs/>
          <w:iCs/>
          <w:kern w:val="2"/>
          <w:lang w:val="tr"/>
          <w14:ligatures w14:val="standardContextual"/>
        </w:rPr>
        <w:t xml:space="preserve"> AİHM’in bu tespiti, ByLock’un münhasıran Gülen Cemaati üyeleri tarafından kullanıldığı yönündeki Hükümet tezini ve yargı uygulamasını çürütmüştür.</w:t>
      </w:r>
    </w:p>
    <w:p w14:paraId="192E0576" w14:textId="6672ADB7"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b/>
          <w:bCs/>
          <w:iCs/>
          <w:lang w:val="tr"/>
        </w:rPr>
        <w:t>Mahkeme</w:t>
      </w:r>
      <w:r w:rsidRPr="00C47AC0">
        <w:rPr>
          <w:rFonts w:ascii="Palatino Linotype" w:eastAsia="Calibri" w:hAnsi="Palatino Linotype" w:cs="Times New Roman"/>
          <w:iCs/>
          <w:kern w:val="2"/>
          <w:lang w:val="tr"/>
          <w14:ligatures w14:val="standardContextual"/>
        </w:rPr>
        <w:t xml:space="preserve">, dönüm noktası niteliğindeki kararlarında Yargıtay da dâhil olmak üzere ulusal mahkemelerin, </w:t>
      </w:r>
      <w:r w:rsidRPr="00C47AC0">
        <w:rPr>
          <w:rFonts w:ascii="Palatino Linotype" w:eastAsia="Calibri" w:hAnsi="Palatino Linotype" w:cs="Times New Roman"/>
          <w:b/>
          <w:bCs/>
          <w:iCs/>
          <w:kern w:val="2"/>
          <w:lang w:val="tr"/>
          <w14:ligatures w14:val="standardContextual"/>
        </w:rPr>
        <w:t>ByLock'un münhasır ve örgütsel olduğu iddiasına ilişkin olarak öncelikle MİT tarafından yapılan tespitleri yargılama dışı bir bağlamda kabul ettiklerini ve bu tespitleri derinlemesine incelemediklerini kaydetmiştir</w:t>
      </w:r>
      <w:r w:rsidRPr="00C47AC0">
        <w:rPr>
          <w:rFonts w:ascii="Palatino Linotype" w:eastAsia="Calibri" w:hAnsi="Palatino Linotype" w:cs="Times New Roman"/>
          <w:iCs/>
          <w:kern w:val="2"/>
          <w:lang w:val="tr"/>
          <w14:ligatures w14:val="standardContextual"/>
        </w:rPr>
        <w:t xml:space="preserve">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340).</w:t>
      </w:r>
      <w:r w:rsidR="00746227" w:rsidRPr="00C47AC0">
        <w:rPr>
          <w:rFonts w:ascii="Palatino Linotype" w:eastAsia="Calibri" w:hAnsi="Palatino Linotype" w:cs="Times New Roman"/>
          <w:iCs/>
          <w:kern w:val="2"/>
          <w:lang w:val="tr"/>
          <w14:ligatures w14:val="standardContextual"/>
        </w:rPr>
        <w:t xml:space="preserve"> AİHM, bu tespit ile MİT verilerinin bir mahkeme denetimi olmadan kayıtsız kabulünü ihlal nedeni saymıştır.</w:t>
      </w:r>
    </w:p>
    <w:p w14:paraId="15944C12" w14:textId="10A54342"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Mahkeme, yukarıda belirtilenler ışığında, başvuranın aleyhindeki delillere itiraz etme ve savunmasını etkili bir şekilde ve iddia makamıyla eşit bir şekilde yürütme fırsatına sahip olmasını sağlamak için yeterli güvencelerin bulunmadığı kanaatine varmıştır.  Ayrıca, ulusal mahkemelerin başvuranın özel ve ilgili taleplerine ve itirazlarına cevap vermemesi, savunma argümanlarına karşı duyarsız oldukları ve başvuranın gerçekten </w:t>
      </w:r>
      <w:r w:rsidRPr="00C47AC0">
        <w:rPr>
          <w:rFonts w:ascii="Palatino Linotype" w:eastAsia="Calibri" w:hAnsi="Palatino Linotype" w:cs="Times New Roman"/>
          <w:i/>
          <w:kern w:val="2"/>
          <w:lang w:val="tr"/>
          <w14:ligatures w14:val="standardContextual"/>
        </w:rPr>
        <w:t>"dinlenmediği"</w:t>
      </w:r>
      <w:r w:rsidRPr="00C47AC0">
        <w:rPr>
          <w:rFonts w:ascii="Palatino Linotype" w:eastAsia="Calibri" w:hAnsi="Palatino Linotype" w:cs="Times New Roman"/>
          <w:iCs/>
          <w:kern w:val="2"/>
          <w:lang w:val="tr"/>
          <w14:ligatures w14:val="standardContextual"/>
        </w:rPr>
        <w:t xml:space="preserve"> konusunda meşru bir şüphe uyandırmıştır. Usulüne uygun olarak gerekçelendirilmiş kararların adaletin düzgün bir şekilde yerine getirilmesi açısından taşıdığı önem göz önünde bulundurulduğunda, ulusal mahkemelerin davanın özüne ilişkin hayati konularda sessiz kalması, başvuranın, mahkemelerin bulgularına ve ceza yargılamasının </w:t>
      </w:r>
      <w:r w:rsidRPr="00C47AC0">
        <w:rPr>
          <w:rFonts w:ascii="Palatino Linotype" w:eastAsia="Calibri" w:hAnsi="Palatino Linotype" w:cs="Times New Roman"/>
          <w:i/>
          <w:kern w:val="2"/>
          <w:lang w:val="tr"/>
          <w14:ligatures w14:val="standardContextual"/>
        </w:rPr>
        <w:t>"sadece şekil yönünden"</w:t>
      </w:r>
      <w:r w:rsidRPr="00C47AC0">
        <w:rPr>
          <w:rFonts w:ascii="Palatino Linotype" w:eastAsia="Calibri" w:hAnsi="Palatino Linotype" w:cs="Times New Roman"/>
          <w:iCs/>
          <w:kern w:val="2"/>
          <w:lang w:val="tr"/>
          <w14:ligatures w14:val="standardContextual"/>
        </w:rPr>
        <w:t xml:space="preserve"> yürütülmesine ilişkin haklı endişeler duymasına yol açmıştır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341).</w:t>
      </w:r>
    </w:p>
    <w:p w14:paraId="75371DF6" w14:textId="5E5A4549"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w:t>
      </w:r>
      <w:r w:rsidRPr="00C47AC0">
        <w:rPr>
          <w:rFonts w:ascii="Palatino Linotype" w:hAnsi="Palatino Linotype" w:cs="Times New Roman"/>
          <w:iCs/>
          <w:lang w:val="tr"/>
        </w:rPr>
        <w:t>göre</w:t>
      </w:r>
      <w:r w:rsidRPr="00C47AC0">
        <w:rPr>
          <w:rFonts w:ascii="Palatino Linotype" w:eastAsia="Calibri" w:hAnsi="Palatino Linotype" w:cs="Times New Roman"/>
          <w:iCs/>
          <w:kern w:val="2"/>
          <w:lang w:val="tr"/>
          <w14:ligatures w14:val="standardContextual"/>
        </w:rPr>
        <w:t>, adaletin adil bir şekilde yerine getirilmesi hakkı, demokratik bir toplumda, yarar uğruna feda edilemeyecek kadar önemli bir yere sahiptir ve elde edilen deliller, elektronik olsun ya da olmasın, ulusal mahkemeler tarafından adil yargılamanın temel ilkelerini zedeleyecek şekilde kullanılamaz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344).</w:t>
      </w:r>
    </w:p>
    <w:p w14:paraId="5E8554E3" w14:textId="08E60C20"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Mahkeme, başvuranın </w:t>
      </w:r>
      <w:r w:rsidRPr="00C47AC0">
        <w:rPr>
          <w:rFonts w:ascii="Palatino Linotype" w:eastAsia="Calibri" w:hAnsi="Palatino Linotype" w:cs="Times New Roman"/>
          <w:b/>
          <w:bCs/>
          <w:iCs/>
          <w:kern w:val="2"/>
          <w:lang w:val="tr"/>
          <w14:ligatures w14:val="standardContextual"/>
        </w:rPr>
        <w:t>Bank Asya'da</w:t>
      </w:r>
      <w:r w:rsidRPr="00C47AC0">
        <w:rPr>
          <w:rFonts w:ascii="Palatino Linotype" w:eastAsia="Calibri" w:hAnsi="Palatino Linotype" w:cs="Times New Roman"/>
          <w:iCs/>
          <w:kern w:val="2"/>
          <w:lang w:val="tr"/>
          <w14:ligatures w14:val="standardContextual"/>
        </w:rPr>
        <w:t xml:space="preserve"> hesap açması, </w:t>
      </w:r>
      <w:r w:rsidRPr="00C47AC0">
        <w:rPr>
          <w:rFonts w:ascii="Palatino Linotype" w:eastAsia="Calibri" w:hAnsi="Palatino Linotype" w:cs="Times New Roman"/>
          <w:b/>
          <w:bCs/>
          <w:iCs/>
          <w:kern w:val="2"/>
          <w:lang w:val="tr"/>
          <w14:ligatures w14:val="standardContextual"/>
        </w:rPr>
        <w:t>sendika ve dernek üyeliği</w:t>
      </w:r>
      <w:r w:rsidRPr="00C47AC0">
        <w:rPr>
          <w:rFonts w:ascii="Palatino Linotype" w:eastAsia="Calibri" w:hAnsi="Palatino Linotype" w:cs="Times New Roman"/>
          <w:iCs/>
          <w:kern w:val="2"/>
          <w:lang w:val="tr"/>
          <w14:ligatures w14:val="standardContextual"/>
        </w:rPr>
        <w:t xml:space="preserve"> delillerinin, ByLock’u destekleyici delil olması ve sınırlı öneme sahip olması nedeniyle incelemeye gerek görmemiştir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242). Bununla birlikte, Mahkeme, ulusal mahkemelerin kararlarında, bu eylemlerin, tali bir şekilde bile olsa, nasıl suç teşkil eden bir davranışa delil olabileceğine dair anlamlı bir tartışmanın eksikliğine dikkat çekmiştir. Bu bağlamda, söz konusu </w:t>
      </w:r>
      <w:r w:rsidRPr="00C47AC0">
        <w:rPr>
          <w:rFonts w:ascii="Palatino Linotype" w:eastAsia="Calibri" w:hAnsi="Palatino Linotype" w:cs="Times New Roman"/>
          <w:b/>
          <w:bCs/>
          <w:iCs/>
          <w:kern w:val="2"/>
          <w:lang w:val="tr"/>
          <w14:ligatures w14:val="standardContextual"/>
        </w:rPr>
        <w:t xml:space="preserve">eylemlerin, </w:t>
      </w:r>
      <w:r w:rsidRPr="00C47AC0">
        <w:rPr>
          <w:rFonts w:ascii="Palatino Linotype" w:eastAsia="Calibri" w:hAnsi="Palatino Linotype" w:cs="Times New Roman"/>
          <w:b/>
          <w:bCs/>
          <w:iCs/>
          <w:kern w:val="2"/>
          <w:lang w:val="tr"/>
          <w14:ligatures w14:val="standardContextual"/>
        </w:rPr>
        <w:lastRenderedPageBreak/>
        <w:t>gerçekleştirildikleri tarihte, yasallık karinesinden yararlanan görünüşte yasal eylemler olduğunu (bkz. Taner Kılıç, § 105) ve dahası, bir sendikaya ve bir derneğe üyelik söz konusu olduğunda, başvuranın Sözleşme'deki haklarını kullanmasıyla ilgili olduğunu gözlemlemiştir.</w:t>
      </w:r>
      <w:r w:rsidRPr="00C47AC0">
        <w:rPr>
          <w:rFonts w:ascii="Palatino Linotype" w:eastAsia="Calibri" w:hAnsi="Palatino Linotype" w:cs="Times New Roman"/>
          <w:iCs/>
          <w:kern w:val="2"/>
          <w:lang w:val="tr"/>
          <w14:ligatures w14:val="standardContextual"/>
        </w:rPr>
        <w:t xml:space="preserve"> Dolayısıyla ulusal mahkemelerin, bu eylemlerin başvuranın silahlı bir terör örgütüne üye olduğuna ilişkin bulguyu nasıl güçlendirdiğini açıklığa kavuşturması gerekmektedir. </w:t>
      </w:r>
      <w:r w:rsidRPr="00C47AC0">
        <w:rPr>
          <w:rFonts w:ascii="Palatino Linotype" w:eastAsia="Calibri" w:hAnsi="Palatino Linotype" w:cs="Times New Roman"/>
          <w:b/>
          <w:bCs/>
          <w:iCs/>
          <w:kern w:val="2"/>
          <w:lang w:val="tr"/>
          <w14:ligatures w14:val="standardContextual"/>
        </w:rPr>
        <w:t>Mahkeme, özellikle, başvuranın Bank Asya işlemlerini açıklamak için sunduğu açıklamanın ulusal mahkemeler tarafından hiçbir zaman doğrulanmadığını veya başka bir şekilde ele alınmadığını not etmiştir</w:t>
      </w:r>
      <w:r w:rsidRPr="00C47AC0">
        <w:rPr>
          <w:rFonts w:ascii="Palatino Linotype" w:eastAsia="Calibri" w:hAnsi="Palatino Linotype" w:cs="Times New Roman"/>
          <w:iCs/>
          <w:kern w:val="2"/>
          <w:lang w:val="tr"/>
          <w14:ligatures w14:val="standardContextual"/>
        </w:rPr>
        <w:t xml:space="preserve">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243).</w:t>
      </w:r>
    </w:p>
    <w:p w14:paraId="3C165F4F" w14:textId="729AF09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w:t>
      </w:r>
      <w:r w:rsidRPr="00C47AC0">
        <w:rPr>
          <w:rFonts w:ascii="Palatino Linotype" w:hAnsi="Palatino Linotype" w:cs="Times New Roman"/>
          <w:iCs/>
          <w:lang w:val="tr"/>
        </w:rPr>
        <w:t>söz</w:t>
      </w:r>
      <w:r w:rsidRPr="00C47AC0">
        <w:rPr>
          <w:rFonts w:ascii="Palatino Linotype" w:eastAsia="Calibri" w:hAnsi="Palatino Linotype" w:cs="Times New Roman"/>
          <w:iCs/>
          <w:kern w:val="2"/>
          <w:lang w:val="tr"/>
          <w14:ligatures w14:val="standardContextual"/>
        </w:rPr>
        <w:t xml:space="preserve"> konusu ceza yargılamalarının kendine has özelliklerine rağmen - hem yürütüldükleri bağlam hem de binlerce başka kişiyle ilgili yüksek miktarda şifrelenmiş elektronik veri içeren ana delillerin niteliği ve kapsamı açısından - ulusal mahkemelerin, başvuran aleyhindeki yargılamaların genel olarak adil olmasını sağlamak için yeterli önlemleri almaları gerekiyordu. Yukarıda belirtildiği gibi bunu yapmamışlardır. Mahkeme'nin görüşüne göre, ulusal mahkemelerin, başvuranın söz konusu delile etkili bir şekilde itiraz edebilmesi, davanın özünde yatan önemli meseleleri ele alabilmesi ve kararlarını gerekçelendirebilmesi için söz konusu delile karşı- karşılıklı olarak- uygun güvenceleri tesis etmemesi, başvuranın 6</w:t>
      </w:r>
      <w:r w:rsidR="00CE3B84"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1</w:t>
      </w:r>
      <w:r w:rsidR="00CE3B84"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 xml:space="preserve"> maddesi kapsamındaki usuli haklarının özüyle bağdaşmamaktadır. Bu eksiklikler, demokratik bir toplumda mahkemelerin kamuoyunda uyandırması gereken güveni zedeleyici ve yargılamanın adilliğini ihlal edici etkilere sahiptir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345).</w:t>
      </w:r>
    </w:p>
    <w:p w14:paraId="3929FBAF" w14:textId="541A8C34" w:rsidR="003B35EE" w:rsidRPr="00C47AC0" w:rsidRDefault="003B35EE" w:rsidP="00CE3B84">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Mahkeme'nin görüşüne göre, yukarıda belirtilen hususlar, başvuran aleyhindeki ceza yargılamasının Sözleşme'nin 6</w:t>
      </w:r>
      <w:r w:rsidR="00CE3B84"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1</w:t>
      </w:r>
      <w:r w:rsidR="00CE3B84"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 xml:space="preserve"> maddesini ihlal ederek adil yargılanma gerekliliklerini </w:t>
      </w:r>
      <w:r w:rsidRPr="00C47AC0">
        <w:rPr>
          <w:rFonts w:ascii="Palatino Linotype" w:hAnsi="Palatino Linotype" w:cs="Times New Roman"/>
          <w:iCs/>
          <w:lang w:val="tr"/>
        </w:rPr>
        <w:t>karşılamadığı</w:t>
      </w:r>
      <w:r w:rsidRPr="00C47AC0">
        <w:rPr>
          <w:rFonts w:ascii="Palatino Linotype" w:eastAsia="Calibri" w:hAnsi="Palatino Linotype" w:cs="Times New Roman"/>
          <w:iCs/>
          <w:kern w:val="2"/>
          <w:lang w:val="tr"/>
          <w14:ligatures w14:val="standardContextual"/>
        </w:rPr>
        <w:t xml:space="preserve"> sonucuna varmak için yeterlidir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346).</w:t>
      </w:r>
      <w:r w:rsidRPr="00C47AC0">
        <w:rPr>
          <w:rFonts w:ascii="Palatino Linotype" w:eastAsia="Times New Roman" w:hAnsi="Palatino Linotype" w:cs="Times New Roman"/>
          <w:lang w:val="tr" w:eastAsia="fr-CH"/>
        </w:rPr>
        <w:t xml:space="preserve"> </w:t>
      </w:r>
      <w:r w:rsidRPr="00C47AC0">
        <w:rPr>
          <w:rFonts w:ascii="Palatino Linotype" w:eastAsia="Calibri" w:hAnsi="Palatino Linotype" w:cs="Times New Roman"/>
          <w:iCs/>
          <w:kern w:val="2"/>
          <w:lang w:val="tr"/>
          <w14:ligatures w14:val="standardContextual"/>
        </w:rPr>
        <w:t>Mahkeme, yukarıdaki mülahazalar ışığında, mevcut davada Sözleşme'nin 6. maddesinin 1. fıkrasının ihlal edildiği sonucuna varmıştır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356).</w:t>
      </w:r>
    </w:p>
    <w:p w14:paraId="1AA94AE2" w14:textId="1995E7B3" w:rsidR="003B35EE" w:rsidRPr="00C47AC0" w:rsidRDefault="00CE3B84" w:rsidP="00E90F06">
      <w:pPr>
        <w:spacing w:line="360" w:lineRule="auto"/>
        <w:contextualSpacing/>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c</w:t>
      </w:r>
      <w:r w:rsidR="00E90F06" w:rsidRPr="00C47AC0">
        <w:rPr>
          <w:rFonts w:ascii="Palatino Linotype" w:eastAsia="Calibri" w:hAnsi="Palatino Linotype" w:cs="Times New Roman"/>
          <w:b/>
          <w:bCs/>
          <w:iCs/>
          <w:kern w:val="2"/>
          <w:lang w:val="tr"/>
          <w14:ligatures w14:val="standardContextual"/>
        </w:rPr>
        <w:t xml:space="preserve">) </w:t>
      </w:r>
      <w:r w:rsidR="003B35EE" w:rsidRPr="00C47AC0">
        <w:rPr>
          <w:rFonts w:ascii="Palatino Linotype" w:eastAsia="Calibri" w:hAnsi="Palatino Linotype" w:cs="Times New Roman"/>
          <w:b/>
          <w:bCs/>
          <w:iCs/>
          <w:kern w:val="2"/>
          <w:lang w:val="tr"/>
          <w14:ligatures w14:val="standardContextual"/>
        </w:rPr>
        <w:t>AİHM’in Sözleşme’nin 11. Maddesi ile İlgili Tespitleri ve İhlal Gerekçesi</w:t>
      </w:r>
    </w:p>
    <w:p w14:paraId="6BAA7F90" w14:textId="77777777"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Sözleşme'nin</w:t>
      </w:r>
      <w:r w:rsidRPr="00C47AC0">
        <w:rPr>
          <w:rFonts w:ascii="Palatino Linotype" w:eastAsia="Calibri" w:hAnsi="Palatino Linotype" w:cs="Times New Roman"/>
          <w:iCs/>
          <w:kern w:val="2"/>
          <w:lang w:val="tr"/>
          <w14:ligatures w14:val="standardContextual"/>
        </w:rPr>
        <w:t xml:space="preserve"> 11/1. Maddesi aşağıdaki gibidir:</w:t>
      </w:r>
    </w:p>
    <w:p w14:paraId="06ECB1C0" w14:textId="77777777" w:rsidR="003B35EE" w:rsidRPr="00C47AC0" w:rsidRDefault="003B35EE" w:rsidP="003B35EE">
      <w:pPr>
        <w:spacing w:line="360" w:lineRule="auto"/>
        <w:ind w:left="720"/>
        <w:contextualSpacing/>
        <w:jc w:val="both"/>
        <w:rPr>
          <w:rFonts w:ascii="Palatino Linotype" w:eastAsia="Calibri" w:hAnsi="Palatino Linotype" w:cs="Times New Roman"/>
          <w:i/>
          <w:kern w:val="2"/>
          <w:lang w:val="tr"/>
          <w14:ligatures w14:val="standardContextual"/>
        </w:rPr>
      </w:pPr>
      <w:r w:rsidRPr="00C47AC0">
        <w:rPr>
          <w:rFonts w:ascii="Palatino Linotype" w:eastAsia="Calibri" w:hAnsi="Palatino Linotype" w:cs="Times New Roman"/>
          <w:i/>
          <w:kern w:val="2"/>
          <w:lang w:val="tr"/>
          <w14:ligatures w14:val="standardContextual"/>
        </w:rPr>
        <w:t>"Herkes, çıkarlarını korumak için sendika kurma ve sendikalara üye olma hakkı da dahil olmak üzere, barışçıl olarak toplanma ve başkalarıyla birlikte örgütlenme özgürlüğü hakkına sahiptir.”</w:t>
      </w:r>
    </w:p>
    <w:p w14:paraId="416BBEBC" w14:textId="76126031"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11. maddede belirtilen örgütlenme özgürlüğü hakkı, dernek kurma hakkını da içermektedir. Ortak bir menfaat alanında kolektif olarak hareket etmek amacıyla tüzel </w:t>
      </w:r>
      <w:r w:rsidRPr="00C47AC0">
        <w:rPr>
          <w:rFonts w:ascii="Palatino Linotype" w:hAnsi="Palatino Linotype" w:cs="Times New Roman"/>
          <w:iCs/>
          <w:lang w:val="tr"/>
        </w:rPr>
        <w:t>kişilik</w:t>
      </w:r>
      <w:r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lastRenderedPageBreak/>
        <w:t>kurabilme, örgütlenme özgürlüğünün en önemli unsurlarından biridir ve bu hak olmaksızın herhangi bir anlam ifade etmeyecektir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385).</w:t>
      </w:r>
    </w:p>
    <w:p w14:paraId="5D80FDAC" w14:textId="05EF2534"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mahkumiyete konu sendika ve derneğin, darbe girişiminin ardından FETÖ/PDY ile </w:t>
      </w:r>
      <w:r w:rsidRPr="00C47AC0">
        <w:rPr>
          <w:rFonts w:ascii="Palatino Linotype" w:hAnsi="Palatino Linotype" w:cs="Times New Roman"/>
          <w:iCs/>
          <w:lang w:val="tr"/>
        </w:rPr>
        <w:t>bağlantılı</w:t>
      </w:r>
      <w:r w:rsidRPr="00C47AC0">
        <w:rPr>
          <w:rFonts w:ascii="Palatino Linotype" w:eastAsia="Calibri" w:hAnsi="Palatino Linotype" w:cs="Times New Roman"/>
          <w:iCs/>
          <w:kern w:val="2"/>
          <w:lang w:val="tr"/>
          <w14:ligatures w14:val="standardContextual"/>
        </w:rPr>
        <w:t xml:space="preserve"> oldukları gerekçesiyle 667 sayılı Kanun Hükmünde Kararname ile kapatılmadan önce yasal olarak kuruldukları ve faaliyet gösterdikleri, görünüşte Sözleşme'nin 11. maddesi kapsamına giren ve şiddeti teşvik etmeyen veya demokratik bir toplumun temellerini başka bir şekilde reddetmeyen eylemlerin yasallık karinesinden yararlanması gerektiğini vurgulamıştır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390).</w:t>
      </w:r>
      <w:r w:rsidRPr="00C47AC0">
        <w:rPr>
          <w:rFonts w:ascii="Palatino Linotype" w:eastAsia="Times New Roman" w:hAnsi="Palatino Linotype" w:cs="Times New Roman"/>
          <w:color w:val="000000"/>
          <w:lang w:val="tr" w:eastAsia="fr-CH"/>
        </w:rPr>
        <w:t xml:space="preserve"> Yerel </w:t>
      </w:r>
      <w:r w:rsidRPr="00C47AC0">
        <w:rPr>
          <w:rFonts w:ascii="Palatino Linotype" w:eastAsia="Calibri" w:hAnsi="Palatino Linotype" w:cs="Times New Roman"/>
          <w:iCs/>
          <w:kern w:val="2"/>
          <w:lang w:val="tr"/>
          <w14:ligatures w14:val="standardContextual"/>
        </w:rPr>
        <w:t>Mahkeme kararında, başvuranın bu yapılar içerisinde herhangi bir eylemde bulunup bulunmadığına ve eğer bulunmuşsa, bu eylemlerin niteliğinin ne olduğuna ilişkin herhangi bir açıklama da yer almamıştır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391).</w:t>
      </w:r>
      <w:r w:rsidRPr="00C47AC0">
        <w:rPr>
          <w:rFonts w:ascii="Palatino Linotype" w:eastAsia="Times New Roman" w:hAnsi="Palatino Linotype" w:cs="Times New Roman"/>
          <w:color w:val="000000"/>
          <w:lang w:val="tr" w:eastAsia="fr-CH"/>
        </w:rPr>
        <w:t xml:space="preserve"> </w:t>
      </w:r>
      <w:r w:rsidRPr="00C47AC0">
        <w:rPr>
          <w:rFonts w:ascii="Palatino Linotype" w:eastAsia="Calibri" w:hAnsi="Palatino Linotype" w:cs="Times New Roman"/>
          <w:iCs/>
          <w:kern w:val="2"/>
          <w:lang w:val="tr"/>
          <w14:ligatures w14:val="standardContextual"/>
        </w:rPr>
        <w:t>Hükümet, başvuranın sendika ve dernek üyeliklerine ilişkin yasallık karinesini çürütmek için herhangi bir özel kanıt sunmamıştır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392).</w:t>
      </w:r>
    </w:p>
    <w:p w14:paraId="3890A559" w14:textId="4C58F1B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b/>
          <w:bCs/>
          <w:iCs/>
          <w:kern w:val="2"/>
          <w:lang w:val="tr"/>
          <w14:ligatures w14:val="standardContextual"/>
        </w:rPr>
        <w:t>AİHM, Ceza Kanunu'nun 314. maddesinin kapsamının, bu hükmü yorumlayan içtihatlarda gerekli olan ve silahlı bir terör örgütüne üyeliği gösteren süreklilik, çeşitlilik ve yoğunluk kriterlerini yerine getirecek somut unsurlar olmaksızın, suç teşkil eden bir davranış göstergesi olarak, her ikisi de o dönemde yasal olarak faaliyet gösteren bir sendikaya ve bir derneğe üyeliği içerecek şekilde öngörülemeyen bir şekilde genişletildiği gerçeğine vurgu yapmıştır</w:t>
      </w:r>
      <w:r w:rsidRPr="00C47AC0">
        <w:rPr>
          <w:rFonts w:ascii="Palatino Linotype" w:eastAsia="Calibri" w:hAnsi="Palatino Linotype" w:cs="Times New Roman"/>
          <w:iCs/>
          <w:kern w:val="2"/>
          <w:lang w:val="tr"/>
          <w14:ligatures w14:val="standardContextual"/>
        </w:rPr>
        <w:t xml:space="preserve">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394). </w:t>
      </w:r>
    </w:p>
    <w:p w14:paraId="20241675" w14:textId="60B2F000"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Yukarıda</w:t>
      </w:r>
      <w:r w:rsidRPr="00C47AC0">
        <w:rPr>
          <w:rFonts w:ascii="Palatino Linotype" w:eastAsia="Calibri" w:hAnsi="Palatino Linotype" w:cs="Times New Roman"/>
          <w:iCs/>
          <w:kern w:val="2"/>
          <w:lang w:val="tr"/>
          <w14:ligatures w14:val="standardContextual"/>
        </w:rPr>
        <w:t xml:space="preserve"> belirtilen hususlar ışığında Mahkeme, mevcut davada </w:t>
      </w:r>
      <w:r w:rsidRPr="00C47AC0">
        <w:rPr>
          <w:rFonts w:ascii="Palatino Linotype" w:eastAsia="Calibri" w:hAnsi="Palatino Linotype" w:cs="Times New Roman"/>
          <w:b/>
          <w:bCs/>
          <w:iCs/>
          <w:kern w:val="2"/>
          <w:lang w:val="tr"/>
          <w14:ligatures w14:val="standardContextual"/>
        </w:rPr>
        <w:t>Ceza Kanunu'nun 314</w:t>
      </w:r>
      <w:r w:rsidR="00CE3B84"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2</w:t>
      </w:r>
      <w:r w:rsidR="00CE3B84"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maddesinin başvuranın Aktif Eğitim-Sen ve Kayseri Gönüllü Eğitimciler Derneği üyeliğiyle ilgili olarak yorumlanma şeklinin, bu </w:t>
      </w:r>
      <w:r w:rsidRPr="00C47AC0">
        <w:rPr>
          <w:rFonts w:ascii="Palatino Linotype" w:eastAsia="Calibri" w:hAnsi="Palatino Linotype" w:cs="Times New Roman"/>
          <w:b/>
          <w:bCs/>
          <w:iCs/>
          <w:kern w:val="2"/>
          <w:lang w:val="tr"/>
          <w14:ligatures w14:val="standardContextual"/>
        </w:rPr>
        <w:t>hükmün kapsamını öngörülemeyen bir şekilde genişlettiğini, keyfi müdahalelere karşı gerekli asgari korumayı sağlamadığını ve bu nedenle Sözleşme'nin 11</w:t>
      </w:r>
      <w:r w:rsidR="00CE3B84"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2</w:t>
      </w:r>
      <w:r w:rsidR="00CE3B84"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 xml:space="preserve"> maddesinin gerektirdiği şekilde </w:t>
      </w:r>
      <w:r w:rsidRPr="00C47AC0">
        <w:rPr>
          <w:rFonts w:ascii="Palatino Linotype" w:eastAsia="Calibri" w:hAnsi="Palatino Linotype" w:cs="Times New Roman"/>
          <w:b/>
          <w:bCs/>
          <w:i/>
          <w:kern w:val="2"/>
          <w:lang w:val="tr"/>
          <w14:ligatures w14:val="standardContextual"/>
        </w:rPr>
        <w:t>"kanunla öngörülmüş"</w:t>
      </w:r>
      <w:r w:rsidRPr="00C47AC0">
        <w:rPr>
          <w:rFonts w:ascii="Palatino Linotype" w:eastAsia="Calibri" w:hAnsi="Palatino Linotype" w:cs="Times New Roman"/>
          <w:b/>
          <w:bCs/>
          <w:iCs/>
          <w:kern w:val="2"/>
          <w:lang w:val="tr"/>
          <w14:ligatures w14:val="standardContextual"/>
        </w:rPr>
        <w:t xml:space="preserve"> olarak kabul edilemeyeceğini tespit etmiştir</w:t>
      </w:r>
      <w:r w:rsidRPr="00C47AC0">
        <w:rPr>
          <w:rFonts w:ascii="Palatino Linotype" w:eastAsia="Calibri" w:hAnsi="Palatino Linotype" w:cs="Times New Roman"/>
          <w:iCs/>
          <w:kern w:val="2"/>
          <w:lang w:val="tr"/>
          <w14:ligatures w14:val="standardContextual"/>
        </w:rPr>
        <w:t xml:space="preserve">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396).</w:t>
      </w:r>
    </w:p>
    <w:p w14:paraId="494DD286" w14:textId="60DB722C" w:rsidR="008A5BF2" w:rsidRPr="00C47AC0" w:rsidRDefault="003B35EE" w:rsidP="00F508CA">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sonuç olarak, mevcut davada Sözleşme'nin 11. maddesinin ihlal edildiğine karar vermiştir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402).</w:t>
      </w:r>
    </w:p>
    <w:p w14:paraId="49923CA4" w14:textId="1E6B65C6" w:rsidR="008A5BF2" w:rsidRPr="00C47AC0" w:rsidRDefault="00CA2C93" w:rsidP="008A5BF2">
      <w:pPr>
        <w:spacing w:line="360" w:lineRule="auto"/>
        <w:jc w:val="both"/>
        <w:rPr>
          <w:rFonts w:ascii="Palatino Linotype" w:hAnsi="Palatino Linotype" w:cs="Times New Roman"/>
          <w:b/>
          <w:bCs/>
          <w:iCs/>
          <w:lang w:val="tr"/>
        </w:rPr>
      </w:pPr>
      <w:bookmarkStart w:id="1" w:name="_Hlk146742266"/>
      <w:r w:rsidRPr="00C47AC0">
        <w:rPr>
          <w:rFonts w:ascii="Palatino Linotype" w:hAnsi="Palatino Linotype" w:cs="Times New Roman"/>
          <w:b/>
          <w:bCs/>
          <w:lang w:val="tr"/>
        </w:rPr>
        <w:t>C</w:t>
      </w:r>
      <w:r w:rsidR="008A5BF2" w:rsidRPr="00C47AC0">
        <w:rPr>
          <w:rFonts w:ascii="Palatino Linotype" w:hAnsi="Palatino Linotype" w:cs="Times New Roman"/>
          <w:b/>
          <w:bCs/>
          <w:lang w:val="tr"/>
        </w:rPr>
        <w:t>- Kararın Ulusal Bağlayıcılığı ve Benzer Genel Dosyalara Uygulanması Yükümlülüğü</w:t>
      </w:r>
    </w:p>
    <w:bookmarkEnd w:id="1"/>
    <w:p w14:paraId="02B8DE4A" w14:textId="58C81728" w:rsidR="008A5BF2" w:rsidRPr="00C47AC0" w:rsidRDefault="008A5BF2" w:rsidP="004063DF">
      <w:pPr>
        <w:pStyle w:val="ListeParagraf"/>
        <w:numPr>
          <w:ilvl w:val="0"/>
          <w:numId w:val="2"/>
        </w:numPr>
        <w:tabs>
          <w:tab w:val="left" w:pos="3870"/>
        </w:tabs>
        <w:spacing w:line="360" w:lineRule="auto"/>
        <w:ind w:left="630" w:right="-378"/>
        <w:jc w:val="both"/>
        <w:rPr>
          <w:rFonts w:ascii="Palatino Linotype" w:hAnsi="Palatino Linotype" w:cs="Times New Roman"/>
          <w:i/>
          <w:lang w:val="tr"/>
        </w:rPr>
      </w:pPr>
      <w:r w:rsidRPr="00C47AC0">
        <w:rPr>
          <w:rFonts w:ascii="Palatino Linotype" w:hAnsi="Palatino Linotype" w:cs="Times New Roman"/>
          <w:iCs/>
          <w:lang w:val="tr"/>
        </w:rPr>
        <w:t xml:space="preserve">AİHM, Sözleşme'nin 46. Maddesinde yer alan </w:t>
      </w:r>
      <w:r w:rsidRPr="00C47AC0">
        <w:rPr>
          <w:rFonts w:ascii="Palatino Linotype" w:hAnsi="Palatino Linotype" w:cs="Times New Roman"/>
          <w:i/>
          <w:lang w:val="tr"/>
        </w:rPr>
        <w:t>"1. Yüksek Sözleşmeci Taraflar, taraf oldukları her davada Mahkeme'nin nihai kararına uymayı taahhüt ederler."</w:t>
      </w:r>
      <w:r w:rsidRPr="00C47AC0">
        <w:rPr>
          <w:rFonts w:ascii="Palatino Linotype" w:hAnsi="Palatino Linotype" w:cs="Times New Roman"/>
          <w:iCs/>
          <w:lang w:val="tr"/>
        </w:rPr>
        <w:t xml:space="preserve"> biçimindeki kural gereği, davalı Devlet'e, tespit edilen ihlale son verme</w:t>
      </w:r>
      <w:r w:rsidR="004063DF" w:rsidRPr="00C47AC0">
        <w:rPr>
          <w:rFonts w:ascii="Palatino Linotype" w:hAnsi="Palatino Linotype" w:cs="Times New Roman"/>
          <w:iCs/>
          <w:lang w:val="tr"/>
        </w:rPr>
        <w:t>si</w:t>
      </w:r>
      <w:r w:rsidRPr="00C47AC0">
        <w:rPr>
          <w:rFonts w:ascii="Palatino Linotype" w:hAnsi="Palatino Linotype" w:cs="Times New Roman"/>
          <w:iCs/>
          <w:lang w:val="tr"/>
        </w:rPr>
        <w:t xml:space="preserve"> ve ihlalden önceki durumu mümkün olduğunca eski haline getirecek şekilde sonuçlarını telafi etmesi, yargılamanın yenilenmesi, </w:t>
      </w:r>
      <w:r w:rsidRPr="00C47AC0">
        <w:rPr>
          <w:rFonts w:ascii="Palatino Linotype" w:hAnsi="Palatino Linotype" w:cs="Times New Roman"/>
          <w:i/>
          <w:lang w:val="tr"/>
        </w:rPr>
        <w:t>“benzer vakalara ilişkin”</w:t>
      </w:r>
      <w:r w:rsidRPr="00C47AC0">
        <w:rPr>
          <w:rFonts w:ascii="Palatino Linotype" w:hAnsi="Palatino Linotype" w:cs="Times New Roman"/>
          <w:iCs/>
          <w:lang w:val="tr"/>
        </w:rPr>
        <w:t xml:space="preserve"> olarak da aynı tedbirlerin alınması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413-418), sistematik olan bu sorunun yüz</w:t>
      </w:r>
      <w:r w:rsidR="00CE3B84" w:rsidRPr="00C47AC0">
        <w:rPr>
          <w:rFonts w:ascii="Palatino Linotype" w:hAnsi="Palatino Linotype" w:cs="Times New Roman"/>
          <w:iCs/>
          <w:lang w:val="tr"/>
        </w:rPr>
        <w:t xml:space="preserve"> </w:t>
      </w:r>
      <w:r w:rsidRPr="00C47AC0">
        <w:rPr>
          <w:rFonts w:ascii="Palatino Linotype" w:hAnsi="Palatino Linotype" w:cs="Times New Roman"/>
          <w:iCs/>
          <w:lang w:val="tr"/>
        </w:rPr>
        <w:t xml:space="preserve">binden </w:t>
      </w:r>
      <w:r w:rsidRPr="00C47AC0">
        <w:rPr>
          <w:rFonts w:ascii="Palatino Linotype" w:hAnsi="Palatino Linotype" w:cs="Times New Roman"/>
          <w:iCs/>
          <w:lang w:val="tr"/>
        </w:rPr>
        <w:lastRenderedPageBreak/>
        <w:t>fazla dosyayı etkilediği ve etkilemeye devam etmesi nedeniyle bu sorunun ihlal gerekçeleri bağlamında çözülmesi yükümlülüğü</w:t>
      </w:r>
      <w:r w:rsidR="004063DF" w:rsidRPr="00C47AC0">
        <w:rPr>
          <w:rFonts w:ascii="Palatino Linotype" w:hAnsi="Palatino Linotype" w:cs="Times New Roman"/>
          <w:iCs/>
          <w:lang w:val="tr"/>
        </w:rPr>
        <w:t>nü</w:t>
      </w:r>
      <w:r w:rsidRPr="00C47AC0">
        <w:rPr>
          <w:rFonts w:ascii="Palatino Linotype" w:hAnsi="Palatino Linotype" w:cs="Times New Roman"/>
          <w:iCs/>
          <w:lang w:val="tr"/>
        </w:rPr>
        <w:t xml:space="preserve"> getirmiştir.</w:t>
      </w:r>
    </w:p>
    <w:p w14:paraId="0934795B" w14:textId="6E2BB6EC"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 xml:space="preserve">Mahkeme'nin içtihadına göre, bir ihlalin çok sayıda insanı etkileyen sistemik bir sorundan </w:t>
      </w:r>
      <w:r w:rsidRPr="00C47AC0">
        <w:rPr>
          <w:rFonts w:ascii="Palatino Linotype" w:hAnsi="Palatino Linotype" w:cs="Times New Roman"/>
          <w:bCs/>
        </w:rPr>
        <w:t>kaynaklandığı</w:t>
      </w:r>
      <w:r w:rsidRPr="00C47AC0">
        <w:rPr>
          <w:rFonts w:ascii="Palatino Linotype" w:hAnsi="Palatino Linotype" w:cs="Times New Roman"/>
          <w:iCs/>
          <w:lang w:val="tr"/>
        </w:rPr>
        <w:t xml:space="preserve"> durumlarda, böyle bir kararın icrası için ulusal düzeyde genel tedbirler alınması gerekecektir. Mahkeme İçtüzüğü'nün 61. maddesi uyarınca pilot karar usulü çerçevesinde sıklıkla başvurulmasına rağmen, Mahkeme bu usulün uygulanmadığı davalarda da genel tedbirlere işaret etmiştir. İster bir pilot karar çerçevesinde ister başka bir şekilde yapılmış olsun, bu tür göstergelerle amaçlanan, ulusal düzeydeki sistemik sorunları çözerek Sözleşmeci Devletlerin Sözleşme sistemindeki rollerini yerine getirmelerine yardımcı olmaktır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416).</w:t>
      </w:r>
    </w:p>
    <w:p w14:paraId="3D203B94" w14:textId="3968B620"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Mahkeme bu bağlamda, Bakanlar Komitesi'nin Rec(2004)6 sayılı Tavsiye Kararında belirtildiği üzere, Devletlerin Sözleşme ihlallerinin altında yatan sorunları çözme konusundaki genel yükümlülüğüne işaret etmektedir. Ayrıca, Sözleşmeci Devletlerin, Mahkeme tarafından tespit edilen sistemik ve yapısal insan hakları sorunlarını çözme ve Reykjavik'te düzenlenen son Devlet ve Hükümet Başkanları Zirvesi sırasında açık bir şekilde ifade edildiği üzere, bağlayıcı niteliklerini göz önünde bulundurarak nihai kararlarının tam, etkili ve hızlı bir şekilde uygulanmasını sağlama konusundaki taahhütlerini de not eder (bkz. ilgili görülerek yukarıdaki 204. paragrafta atıfta bulunulan Reykjavik Deklarasyonu Ek IV). Mahkeme'nin kaygısı, ulusal insan hakları koruma sisteminde tespit edilen bir kusurun hızlı ve etkili bir şekilde düzeltilmesini kolaylaştırmaktır ve yukarıdaki 408. paragrafta belirtildiği gibi, Komite kararları sadece önüne getirilen davaları karara bağlamakla kalmaz. Bu nedenle, böyle bir kusur tespit edildiğinde, ulusal makamlar, Bakanlar Komitesi'nin denetimine tabi olarak, Sözleşme sisteminin temelini oluşturan ikincillik ilkesine uygun olarak - gerekirse geriye dönük olarak - gerekli telafi tedbirlerini almakla görevlidir; böylece Mahkeme, bir dizi benzer davadaki ihlal bulgusunu tekrarlamak zorunda kalmaz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417).</w:t>
      </w:r>
    </w:p>
    <w:p w14:paraId="189A6AFC" w14:textId="38AEF405"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bCs/>
        </w:rPr>
        <w:t>Mahkeme</w:t>
      </w:r>
      <w:r w:rsidRPr="00C47AC0">
        <w:rPr>
          <w:rFonts w:ascii="Palatino Linotype" w:hAnsi="Palatino Linotype" w:cs="Times New Roman"/>
          <w:iCs/>
          <w:lang w:val="tr"/>
        </w:rPr>
        <w:t xml:space="preserve"> önceki kararlarındaki şu paragrafa atfını yenilemiştir: </w:t>
      </w:r>
      <w:r w:rsidRPr="00C47AC0">
        <w:rPr>
          <w:rFonts w:ascii="Palatino Linotype" w:hAnsi="Palatino Linotype" w:cs="Times New Roman"/>
          <w:i/>
          <w:lang w:val="tr"/>
        </w:rPr>
        <w:t>"Ayrıca, Mahkeme'nin Sözleşme kapsamındaki temel görevinin, Sözleşme'nin 19. maddesinde tanımlandığı üzere, 'Yüksek Sözleşmeci Tarafların Sözleşme ve Protokollerinde üstlendikleri taahhütlere uyulmasını sağlamak' olduğu da hatırlanmalıdır. Sözleşme'ye ilişkin herhangi bir sorunun kalmadığı davalarda sürekli olarak bireysel kararlar verilmesi gerekliliğinin bu görevle uyumlu olduğu söylenemez. Bu yargısal uygulama, Sözleşme kapsamındaki insan hakları korumasının güçlendirilmesine yararlı veya anlamlı bir şekilde katkıda bulunmaz; ..."</w:t>
      </w:r>
      <w:r w:rsidRPr="00C47AC0">
        <w:rPr>
          <w:rFonts w:ascii="Palatino Linotype" w:hAnsi="Palatino Linotype" w:cs="Times New Roman"/>
          <w:iCs/>
          <w:lang w:val="tr"/>
        </w:rPr>
        <w:t xml:space="preserve">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417).</w:t>
      </w:r>
    </w:p>
    <w:p w14:paraId="2F9A20CB" w14:textId="34D60D8D" w:rsidR="008A5BF2" w:rsidRPr="00C47AC0" w:rsidRDefault="008A5BF2" w:rsidP="00F508CA">
      <w:pPr>
        <w:pStyle w:val="ListeParagraf"/>
        <w:numPr>
          <w:ilvl w:val="0"/>
          <w:numId w:val="2"/>
        </w:numPr>
        <w:tabs>
          <w:tab w:val="left" w:pos="3870"/>
        </w:tabs>
        <w:spacing w:line="360" w:lineRule="auto"/>
        <w:ind w:left="630" w:right="-378"/>
        <w:jc w:val="both"/>
        <w:rPr>
          <w:rFonts w:ascii="Palatino Linotype" w:hAnsi="Palatino Linotype" w:cs="Times New Roman"/>
          <w:b/>
          <w:bCs/>
          <w:iCs/>
          <w:lang w:val="tr"/>
        </w:rPr>
      </w:pPr>
      <w:bookmarkStart w:id="2" w:name="_Hlk147069578"/>
      <w:r w:rsidRPr="00C47AC0">
        <w:rPr>
          <w:rFonts w:ascii="Palatino Linotype" w:hAnsi="Palatino Linotype" w:cs="Times New Roman"/>
          <w:iCs/>
          <w:lang w:val="tr"/>
        </w:rPr>
        <w:lastRenderedPageBreak/>
        <w:t xml:space="preserve">Bu </w:t>
      </w:r>
      <w:r w:rsidRPr="00C47AC0">
        <w:rPr>
          <w:rFonts w:ascii="Palatino Linotype" w:hAnsi="Palatino Linotype" w:cs="Times New Roman"/>
          <w:bCs/>
        </w:rPr>
        <w:t>nedenle</w:t>
      </w:r>
      <w:r w:rsidRPr="00C47AC0">
        <w:rPr>
          <w:rFonts w:ascii="Palatino Linotype" w:hAnsi="Palatino Linotype" w:cs="Times New Roman"/>
          <w:iCs/>
          <w:lang w:val="tr"/>
        </w:rPr>
        <w:t xml:space="preserve"> Mahkeme, gelecekte çok sayıda davada benzer ihlalleri tespit etmek zorunda kalmamak için, mevcut kararda tespit edilen kusurların, ilgili ve mümkün olduğu ölçüde, Türk makamları tarafından daha geniş bir ölçekte - yani mevcut başvuranın özel davasının ötesinde - ele alınması gerektiği görüşündedir. </w:t>
      </w:r>
      <w:r w:rsidR="00E90F06" w:rsidRPr="00C47AC0">
        <w:rPr>
          <w:rFonts w:ascii="Palatino Linotype" w:hAnsi="Palatino Linotype" w:cs="Times New Roman"/>
          <w:b/>
          <w:bCs/>
          <w:iCs/>
          <w:lang w:val="tr"/>
        </w:rPr>
        <w:t xml:space="preserve">dolayısıyla, davalı Devlet'in </w:t>
      </w:r>
      <w:r w:rsidR="00CE3B84" w:rsidRPr="00C47AC0">
        <w:rPr>
          <w:rFonts w:ascii="Palatino Linotype" w:hAnsi="Palatino Linotype" w:cs="Times New Roman"/>
          <w:b/>
          <w:bCs/>
          <w:iCs/>
          <w:lang w:val="tr"/>
        </w:rPr>
        <w:t>S</w:t>
      </w:r>
      <w:r w:rsidR="00E90F06" w:rsidRPr="00C47AC0">
        <w:rPr>
          <w:rFonts w:ascii="Palatino Linotype" w:hAnsi="Palatino Linotype" w:cs="Times New Roman"/>
          <w:b/>
          <w:bCs/>
          <w:iCs/>
          <w:lang w:val="tr"/>
        </w:rPr>
        <w:t>özleşme'nin 46. maddesi kapsamındaki yükümlülüklerine uygun olarak, mevcut karardan, özellikle ancak onlarla sınırlı olmamak üzere ulusal mahkemeler önünde görülmekte olan davalara ilişkin olarak</w:t>
      </w:r>
      <w:r w:rsidR="00E90F06" w:rsidRPr="00C47AC0">
        <w:rPr>
          <w:rFonts w:ascii="Palatino Linotype" w:hAnsi="Palatino Linotype" w:cs="Times New Roman"/>
          <w:b/>
          <w:bCs/>
          <w:i/>
          <w:lang w:val="tr"/>
        </w:rPr>
        <w:t xml:space="preserve"> </w:t>
      </w:r>
      <w:r w:rsidR="00E90F06" w:rsidRPr="00C47AC0">
        <w:rPr>
          <w:rFonts w:ascii="Palatino Linotype" w:hAnsi="Palatino Linotype" w:cs="Times New Roman"/>
          <w:b/>
          <w:bCs/>
          <w:iCs/>
          <w:lang w:val="tr"/>
        </w:rPr>
        <w:t xml:space="preserve">gerekli sonuçları çıkarmak ve burada ihlal bulgularına yol açan yukarıda tespit edilen sorunu çözmek için uygun olan diğer genel tedbirleri alması gerekmektedir. </w:t>
      </w:r>
      <w:r w:rsidRPr="00C47AC0">
        <w:rPr>
          <w:rFonts w:ascii="Palatino Linotype" w:hAnsi="Palatino Linotype" w:cs="Times New Roman"/>
          <w:iCs/>
          <w:lang w:val="tr"/>
        </w:rPr>
        <w:t>Daha spesifik olarak, ulusal mahkemelerin, mevcut kararda yorumlandığı ve uygulandığı şekliyle ilgili Sözleşme standartlarını gerekli şekilde dikkate almaları lazımdır. Mahkeme bu bağlamda, Sözleşme'nin 46. maddesinin, usulüne uygun olarak yürürlüğe konulmuş uluslararası anlaşmaların kanun hükmünde olduğu ve bunların anayasaya uygunluğuna itiraz etmek için Anayasa Mahkemesine başvurulamayacağı şeklindeki Türkiye Anayasası'nın 90</w:t>
      </w:r>
      <w:r w:rsidR="00CE3B84" w:rsidRPr="00C47AC0">
        <w:rPr>
          <w:rFonts w:ascii="Palatino Linotype" w:hAnsi="Palatino Linotype" w:cs="Times New Roman"/>
          <w:iCs/>
          <w:lang w:val="tr"/>
        </w:rPr>
        <w:t>/</w:t>
      </w:r>
      <w:r w:rsidRPr="00C47AC0">
        <w:rPr>
          <w:rFonts w:ascii="Palatino Linotype" w:hAnsi="Palatino Linotype" w:cs="Times New Roman"/>
          <w:iCs/>
          <w:lang w:val="tr"/>
        </w:rPr>
        <w:t>5</w:t>
      </w:r>
      <w:r w:rsidR="00CE3B84" w:rsidRPr="00C47AC0">
        <w:rPr>
          <w:rFonts w:ascii="Palatino Linotype" w:hAnsi="Palatino Linotype" w:cs="Times New Roman"/>
          <w:iCs/>
          <w:lang w:val="tr"/>
        </w:rPr>
        <w:t>.</w:t>
      </w:r>
      <w:r w:rsidRPr="00C47AC0">
        <w:rPr>
          <w:rFonts w:ascii="Palatino Linotype" w:hAnsi="Palatino Linotype" w:cs="Times New Roman"/>
          <w:iCs/>
          <w:lang w:val="tr"/>
        </w:rPr>
        <w:t xml:space="preserve"> maddesi uyarınca Türkiye'de anayasal bir kural hükmünde olduğunun altını çizmiştir (</w:t>
      </w:r>
      <w:r w:rsidR="00CE3B84" w:rsidRPr="00C47AC0">
        <w:rPr>
          <w:rFonts w:ascii="Palatino Linotype" w:eastAsia="Calibri" w:hAnsi="Palatino Linotype" w:cs="Times New Roman"/>
          <w:iCs/>
          <w:kern w:val="2"/>
          <w:lang w:val="tr"/>
          <w14:ligatures w14:val="standardContextual"/>
        </w:rPr>
        <w:t>§</w:t>
      </w:r>
      <w:r w:rsidRPr="00C47AC0">
        <w:rPr>
          <w:rFonts w:ascii="Palatino Linotype" w:hAnsi="Palatino Linotype" w:cs="Times New Roman"/>
          <w:iCs/>
          <w:lang w:val="tr"/>
        </w:rPr>
        <w:t xml:space="preserve"> 418).</w:t>
      </w:r>
      <w:bookmarkEnd w:id="2"/>
    </w:p>
    <w:p w14:paraId="46E8CEA8" w14:textId="102DDD30" w:rsidR="008A5BF2" w:rsidRPr="00C47AC0" w:rsidRDefault="003B35EE" w:rsidP="008A5BF2">
      <w:pPr>
        <w:spacing w:line="360" w:lineRule="auto"/>
        <w:jc w:val="both"/>
        <w:rPr>
          <w:rFonts w:ascii="Palatino Linotype" w:hAnsi="Palatino Linotype" w:cs="Times New Roman"/>
          <w:b/>
          <w:bCs/>
          <w:iCs/>
          <w:lang w:val="tr"/>
        </w:rPr>
      </w:pPr>
      <w:r w:rsidRPr="00C47AC0">
        <w:rPr>
          <w:rFonts w:ascii="Palatino Linotype" w:hAnsi="Palatino Linotype" w:cs="Times New Roman"/>
          <w:b/>
          <w:bCs/>
          <w:iCs/>
          <w:lang w:val="tr"/>
        </w:rPr>
        <w:t>D</w:t>
      </w:r>
      <w:r w:rsidR="008A5BF2" w:rsidRPr="00C47AC0">
        <w:rPr>
          <w:rFonts w:ascii="Palatino Linotype" w:hAnsi="Palatino Linotype" w:cs="Times New Roman"/>
          <w:b/>
          <w:bCs/>
          <w:iCs/>
          <w:lang w:val="tr"/>
        </w:rPr>
        <w:t xml:space="preserve">- Anayasa Mahkemesi İbrahim Er Kararındaki Objektif Etki Görüşü </w:t>
      </w:r>
    </w:p>
    <w:p w14:paraId="6C4CE4BC" w14:textId="6FE8DF02"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rPr>
        <w:t xml:space="preserve">Anayasa Mahkemesi, Yılmaz Çelik Başvurusu (Başvuru Numarası: 2014/13117) ile ilgili kararında </w:t>
      </w:r>
      <w:r w:rsidRPr="00C47AC0">
        <w:rPr>
          <w:rFonts w:ascii="Palatino Linotype" w:hAnsi="Palatino Linotype" w:cs="Times New Roman"/>
          <w:iCs/>
          <w:lang w:val="tr"/>
        </w:rPr>
        <w:t>TCK’nın</w:t>
      </w:r>
      <w:r w:rsidRPr="00C47AC0">
        <w:rPr>
          <w:rFonts w:ascii="Palatino Linotype" w:hAnsi="Palatino Linotype" w:cs="Times New Roman"/>
          <w:iCs/>
        </w:rPr>
        <w:t xml:space="preserve"> 314/2. </w:t>
      </w:r>
      <w:r w:rsidR="00CE3B84" w:rsidRPr="00C47AC0">
        <w:rPr>
          <w:rFonts w:ascii="Palatino Linotype" w:hAnsi="Palatino Linotype" w:cs="Times New Roman"/>
          <w:iCs/>
        </w:rPr>
        <w:t>m</w:t>
      </w:r>
      <w:r w:rsidRPr="00C47AC0">
        <w:rPr>
          <w:rFonts w:ascii="Palatino Linotype" w:hAnsi="Palatino Linotype" w:cs="Times New Roman"/>
          <w:iCs/>
        </w:rPr>
        <w:t>addesi gereği Hizb-ut Tahrir terör örgütü üyeliğinden mahkum olan başvuranın dosyasını incelemiş ve 19/7/2018 tarihli kararı ile anılan yapının bir terör örgütü olma unsurlarına sahip olma yönündeki mahkeme gerekçesini yetersiz görmüş ve adil yargılama hakkının ihlal edildiğine karar vermiş ve anılan başvurucu yeniden yargılanarak beraat etmiştir.</w:t>
      </w:r>
    </w:p>
    <w:p w14:paraId="5CEFFB1A" w14:textId="77777777"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Anayasa</w:t>
      </w:r>
      <w:r w:rsidRPr="00C47AC0">
        <w:rPr>
          <w:rFonts w:ascii="Palatino Linotype" w:hAnsi="Palatino Linotype" w:cs="Times New Roman"/>
          <w:iCs/>
        </w:rPr>
        <w:t xml:space="preserve"> </w:t>
      </w:r>
      <w:r w:rsidRPr="00C47AC0">
        <w:rPr>
          <w:rFonts w:ascii="Palatino Linotype" w:hAnsi="Palatino Linotype" w:cs="Times New Roman"/>
          <w:bCs/>
        </w:rPr>
        <w:t>Mahkemesinin</w:t>
      </w:r>
      <w:r w:rsidRPr="00C47AC0">
        <w:rPr>
          <w:rFonts w:ascii="Palatino Linotype" w:hAnsi="Palatino Linotype" w:cs="Times New Roman"/>
          <w:iCs/>
        </w:rPr>
        <w:t xml:space="preserve"> Yılmaz Çelik kararı sonrasında Hizb-ut Tahrire üye oldukları gerekçesiyle cezalandırılan birçok başvurucu, farklı yerlerdeki ilk derece mahkemelerinden yargılanmanın yenilenmesi taleplerinde bulunmuştur. Bazı ilk derece mahkemelerinin yapılan bu başvurular sonrasında yeniden yargılama taleplerinin kabulüne karar verdiği ve kişiler hakkında yeniden bir değerlendirme yaptığı anlaşılmıştır. İstanbul 13. Ağır Ceza Mahkemesinin 2/2/2021 tarihli bir kararı (2021/16 D. İş), Adana 7. Ağır Ceza Mahkemesinin 3/9/2020 ve 16/9/2021 tarihli iki ayrı kararı (E.2009/89, K.2010/79 sayılı iyi ayrı ek karar), Erzurum 2. Ağır Ceza Mahkemesinin 21/2/2019 tarihli bir ek kararı (E.2009/239, K.2012/300), Diyarbakır 7. Ağır Ceza Mahkemesinin 25/3/2019 tarihli bir kararı (2019/237 D. İş) bu kararlardan bazılarıdır.</w:t>
      </w:r>
    </w:p>
    <w:p w14:paraId="7D81098E" w14:textId="77777777"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lastRenderedPageBreak/>
        <w:t>Ancak aynı örgüt üyeliğinden kesin hükümle mahkum olan ve AYM’ye de bireysel başvuru yapmamış olan İbrahim Er</w:t>
      </w:r>
      <w:r w:rsidRPr="00C47AC0">
        <w:rPr>
          <w:rFonts w:ascii="Palatino Linotype" w:hAnsi="Palatino Linotype" w:cs="Times New Roman"/>
          <w:iCs/>
        </w:rPr>
        <w:t xml:space="preserve"> ve Diğerleri, AYM kararı gereği yargılamanın yenilenmesi için yerel mahkemelerde yaptıkları başvurular reddedilince, bu kişiler AYM’ye bireysel başvuruda bulunmuşlardır (Başvuru Numarası: 2019/33281) Karar Tarihi: 26/1/2023.</w:t>
      </w:r>
    </w:p>
    <w:p w14:paraId="62EA2E50" w14:textId="3DE6033D" w:rsidR="00AB0224" w:rsidRPr="00C47AC0" w:rsidRDefault="00AB0224" w:rsidP="008A5BF2">
      <w:pPr>
        <w:pStyle w:val="ListeParagraf"/>
        <w:numPr>
          <w:ilvl w:val="0"/>
          <w:numId w:val="2"/>
        </w:numPr>
        <w:tabs>
          <w:tab w:val="left" w:pos="3870"/>
        </w:tabs>
        <w:spacing w:line="360" w:lineRule="auto"/>
        <w:ind w:left="630" w:right="-378"/>
        <w:jc w:val="both"/>
        <w:rPr>
          <w:rFonts w:ascii="Palatino Linotype" w:hAnsi="Palatino Linotype" w:cs="Times New Roman"/>
          <w:i/>
          <w:lang w:val="tr"/>
        </w:rPr>
      </w:pPr>
      <w:r w:rsidRPr="00C47AC0">
        <w:rPr>
          <w:rFonts w:ascii="Palatino Linotype" w:hAnsi="Palatino Linotype" w:cs="Times New Roman"/>
          <w:iCs/>
        </w:rPr>
        <w:t xml:space="preserve">AYM, bu başvurunun 36. paragrafında şu tespiti yapmıştır: </w:t>
      </w:r>
      <w:r w:rsidRPr="00C47AC0">
        <w:rPr>
          <w:rFonts w:ascii="Palatino Linotype" w:hAnsi="Palatino Linotype" w:cs="Times New Roman"/>
          <w:i/>
        </w:rPr>
        <w:t>“Öte yandan anılan kararda, Anayasa Mahkemesi ile Avrupa İnsan Hakları Mahkemesinin (AİHM) ihlal kararlarının ve sonuçlarının ortadan kaldırılmasına dönük yeniden yargılama taleplerine ilişkin iddiaların adil yargılanma hakkının kapsamında kaldığı açıkça vurgulanmıştır (Nihat Akbulak, § 39)”</w:t>
      </w:r>
    </w:p>
    <w:p w14:paraId="5A58891E" w14:textId="3371C156"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 xml:space="preserve">AYM, Yılmaz Çelik kararında aynı konuyu incelediğini ve ihlal tespit ettiğini, bu </w:t>
      </w:r>
      <w:r w:rsidRPr="00C47AC0">
        <w:rPr>
          <w:rFonts w:ascii="Palatino Linotype" w:hAnsi="Palatino Linotype" w:cs="Times New Roman"/>
          <w:bCs/>
        </w:rPr>
        <w:t>anayasal</w:t>
      </w:r>
      <w:r w:rsidRPr="00C47AC0">
        <w:rPr>
          <w:rFonts w:ascii="Palatino Linotype" w:hAnsi="Palatino Linotype" w:cs="Times New Roman"/>
          <w:iCs/>
          <w:lang w:val="tr"/>
        </w:rPr>
        <w:t xml:space="preserve"> yorumun objektif etkisi (Yılmaz Çelik kararı </w:t>
      </w:r>
      <w:r w:rsidR="00CC1997" w:rsidRPr="00C47AC0">
        <w:rPr>
          <w:rFonts w:ascii="Palatino Linotype" w:eastAsia="Calibri" w:hAnsi="Palatino Linotype" w:cs="Times New Roman"/>
          <w:iCs/>
          <w:kern w:val="2"/>
          <w:lang w:val="tr"/>
          <w14:ligatures w14:val="standardContextual"/>
        </w:rPr>
        <w:t>§</w:t>
      </w:r>
      <w:r w:rsidRPr="00C47AC0">
        <w:rPr>
          <w:rFonts w:ascii="Palatino Linotype" w:hAnsi="Palatino Linotype" w:cs="Times New Roman"/>
          <w:iCs/>
          <w:lang w:val="tr"/>
        </w:rPr>
        <w:t xml:space="preserve"> 45 ve sonrası) ve AYM kararının aynı mahiyette olan diğer olaylara da uygulanması gerekliliği kapsamında yerel mahkemelerin yargılanmasının yenilenmesi talebinin reddinin, gerekçeli karar hakkı bağlamında adil yargılama hakkını ihlal ettiğini tespit etmiştir. AYM’nin bu gerekçesi yukarıda AİHM’in </w:t>
      </w:r>
      <w:r w:rsidR="00265EA3" w:rsidRPr="00C47AC0">
        <w:rPr>
          <w:rFonts w:ascii="Palatino Linotype" w:hAnsi="Palatino Linotype" w:cs="Times New Roman"/>
          <w:iCs/>
          <w:lang w:val="tr"/>
        </w:rPr>
        <w:t>18-22</w:t>
      </w:r>
      <w:r w:rsidRPr="00C47AC0">
        <w:rPr>
          <w:rFonts w:ascii="Palatino Linotype" w:hAnsi="Palatino Linotype" w:cs="Times New Roman"/>
          <w:iCs/>
          <w:lang w:val="tr"/>
        </w:rPr>
        <w:t>. Paragraflarında belirtilen görüşü ile aynıdır.</w:t>
      </w:r>
    </w:p>
    <w:p w14:paraId="37920426" w14:textId="7A4C2808" w:rsidR="00F508CA" w:rsidRPr="00C47AC0" w:rsidRDefault="008A5BF2" w:rsidP="00924F0F">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 xml:space="preserve">Her iki mahkeme de aslında şunu söylemiştir: Eğer mahkeme (AYM-AİHM) Sözleşme ve Anayasa’da tespit edilen bir hakkın ihlaline hükmetmiş ise, </w:t>
      </w:r>
      <w:r w:rsidRPr="00C47AC0">
        <w:rPr>
          <w:rFonts w:ascii="Palatino Linotype" w:hAnsi="Palatino Linotype" w:cs="Times New Roman"/>
          <w:b/>
          <w:bCs/>
          <w:iCs/>
          <w:lang w:val="tr"/>
        </w:rPr>
        <w:t xml:space="preserve">başvuru ister bireysel olsun isterse seçilmiş pilot dosya olsun, bu durum anılan mahkemelerin önüne getirilmesine gerek kalmaksızın benzer tüm </w:t>
      </w:r>
      <w:r w:rsidR="00265EA3" w:rsidRPr="00C47AC0">
        <w:rPr>
          <w:rFonts w:ascii="Palatino Linotype" w:hAnsi="Palatino Linotype" w:cs="Times New Roman"/>
          <w:b/>
          <w:bCs/>
          <w:iCs/>
          <w:lang w:val="tr"/>
        </w:rPr>
        <w:t xml:space="preserve">derdest ve kesinleşmiş </w:t>
      </w:r>
      <w:r w:rsidRPr="00C47AC0">
        <w:rPr>
          <w:rFonts w:ascii="Palatino Linotype" w:hAnsi="Palatino Linotype" w:cs="Times New Roman"/>
          <w:b/>
          <w:bCs/>
          <w:iCs/>
          <w:lang w:val="tr"/>
        </w:rPr>
        <w:t>işlemlere ve davalara da uygulanması gerekir</w:t>
      </w:r>
      <w:r w:rsidRPr="00C47AC0">
        <w:rPr>
          <w:rFonts w:ascii="Palatino Linotype" w:hAnsi="Palatino Linotype" w:cs="Times New Roman"/>
          <w:iCs/>
          <w:lang w:val="tr"/>
        </w:rPr>
        <w:t>. İdare ve yargı bu hususta gerekli hassasiyeti göstermek ve önlemleri almak zorundadır.</w:t>
      </w:r>
    </w:p>
    <w:p w14:paraId="6CB133CF" w14:textId="62674491" w:rsidR="00F83122" w:rsidRPr="00C47AC0" w:rsidRDefault="00265EA3" w:rsidP="008A5BF2">
      <w:pPr>
        <w:tabs>
          <w:tab w:val="left" w:pos="3870"/>
        </w:tabs>
        <w:spacing w:line="360" w:lineRule="auto"/>
        <w:ind w:right="-378"/>
        <w:jc w:val="both"/>
        <w:rPr>
          <w:rFonts w:ascii="Palatino Linotype" w:hAnsi="Palatino Linotype" w:cs="Times New Roman"/>
          <w:b/>
          <w:lang w:val="tr"/>
        </w:rPr>
      </w:pPr>
      <w:r w:rsidRPr="00C47AC0">
        <w:rPr>
          <w:rFonts w:ascii="Palatino Linotype" w:hAnsi="Palatino Linotype" w:cs="Times New Roman"/>
          <w:b/>
          <w:lang w:val="tr"/>
        </w:rPr>
        <w:t>IV. Sonuç</w:t>
      </w:r>
    </w:p>
    <w:p w14:paraId="37CBFB00" w14:textId="7A534E55" w:rsidR="008D5592" w:rsidRPr="00C47AC0" w:rsidRDefault="00DD4EB8" w:rsidP="008D3063">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t>A</w:t>
      </w:r>
      <w:r w:rsidR="008D5592" w:rsidRPr="00C47AC0">
        <w:rPr>
          <w:rFonts w:ascii="Palatino Linotype" w:hAnsi="Palatino Linotype" w:cs="Times New Roman"/>
        </w:rPr>
        <w:t xml:space="preserve">İHM ve </w:t>
      </w:r>
      <w:r w:rsidRPr="00C47AC0">
        <w:rPr>
          <w:rFonts w:ascii="Palatino Linotype" w:hAnsi="Palatino Linotype" w:cs="Times New Roman"/>
        </w:rPr>
        <w:t xml:space="preserve">AYM’ye </w:t>
      </w:r>
      <w:r w:rsidR="008D5592" w:rsidRPr="00C47AC0">
        <w:rPr>
          <w:rFonts w:ascii="Palatino Linotype" w:hAnsi="Palatino Linotype" w:cs="Times New Roman"/>
        </w:rPr>
        <w:t xml:space="preserve">yapılan </w:t>
      </w:r>
      <w:r w:rsidRPr="00C47AC0">
        <w:rPr>
          <w:rFonts w:ascii="Palatino Linotype" w:hAnsi="Palatino Linotype" w:cs="Times New Roman"/>
        </w:rPr>
        <w:t xml:space="preserve">bireysel başvuru sonucunda verilen kararlar ile bireysel başvurunun doğası gereği bu kararların gerekçeleri, yasama, yürütme, yargı ve Türkiye örneğinde gerçek kişiler açısından bağlayıcıdır ve bu bağlayıcılık, somut olay temelinde yapılan incelemenin genel hukuk düzeni açısından etki göstermesine neden olmaktadır. Kamu organları, bir şikâyetçiyle aynı durumda olan kişilerle olan ilişkisini, bu olaya ilişkin bireysel başvurunun sonuçlarını görmezlikten gelerek kuramaz. Yasama, yürütme veya yargı bünyesinde yer alan bir kamusal güç, bireysel başvuruya konu olan eylem veya eylemsizliğin tekrarı halinde, bu eylem ve eylemsizliğin anayasaya aykırı sonuçları olacağını görebilir. Bu nedenle, ihlalden kaçınmak ve AYM/AİHM kararına uygun biçimde </w:t>
      </w:r>
      <w:r w:rsidR="00CC1997" w:rsidRPr="00C47AC0">
        <w:rPr>
          <w:rFonts w:ascii="Palatino Linotype" w:hAnsi="Palatino Linotype" w:cs="Times New Roman"/>
        </w:rPr>
        <w:t>A</w:t>
      </w:r>
      <w:r w:rsidRPr="00C47AC0">
        <w:rPr>
          <w:rFonts w:ascii="Palatino Linotype" w:hAnsi="Palatino Linotype" w:cs="Times New Roman"/>
        </w:rPr>
        <w:t>nayasa</w:t>
      </w:r>
      <w:r w:rsidR="00CC1997" w:rsidRPr="00C47AC0">
        <w:rPr>
          <w:rFonts w:ascii="Palatino Linotype" w:hAnsi="Palatino Linotype" w:cs="Times New Roman"/>
        </w:rPr>
        <w:t xml:space="preserve"> ve Sö</w:t>
      </w:r>
      <w:r w:rsidRPr="00C47AC0">
        <w:rPr>
          <w:rFonts w:ascii="Palatino Linotype" w:hAnsi="Palatino Linotype" w:cs="Times New Roman"/>
        </w:rPr>
        <w:t>zleşmey</w:t>
      </w:r>
      <w:r w:rsidR="00CC1997" w:rsidRPr="00C47AC0">
        <w:rPr>
          <w:rFonts w:ascii="Palatino Linotype" w:hAnsi="Palatino Linotype" w:cs="Times New Roman"/>
        </w:rPr>
        <w:t>i</w:t>
      </w:r>
      <w:r w:rsidRPr="00C47AC0">
        <w:rPr>
          <w:rFonts w:ascii="Palatino Linotype" w:hAnsi="Palatino Linotype" w:cs="Times New Roman"/>
        </w:rPr>
        <w:t xml:space="preserve"> dikkat</w:t>
      </w:r>
      <w:r w:rsidR="00CC1997" w:rsidRPr="00C47AC0">
        <w:rPr>
          <w:rFonts w:ascii="Palatino Linotype" w:hAnsi="Palatino Linotype" w:cs="Times New Roman"/>
        </w:rPr>
        <w:t>e almalıdır</w:t>
      </w:r>
      <w:r w:rsidRPr="00C47AC0">
        <w:rPr>
          <w:rFonts w:ascii="Palatino Linotype" w:hAnsi="Palatino Linotype" w:cs="Times New Roman"/>
        </w:rPr>
        <w:t>.</w:t>
      </w:r>
    </w:p>
    <w:p w14:paraId="547AAA1B" w14:textId="0CD2F0A6" w:rsidR="00CC34E0" w:rsidRPr="00C47AC0" w:rsidRDefault="008D5592" w:rsidP="007E4BD4">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t>Yukarıda izah edildiği üzere hem AYM hem de AİHM</w:t>
      </w:r>
      <w:r w:rsidR="00DD4EB8" w:rsidRPr="00C47AC0">
        <w:rPr>
          <w:rFonts w:ascii="Palatino Linotype" w:hAnsi="Palatino Linotype" w:cs="Times New Roman"/>
        </w:rPr>
        <w:t xml:space="preserve"> </w:t>
      </w:r>
      <w:r w:rsidR="00DD4EB8" w:rsidRPr="00C47AC0">
        <w:rPr>
          <w:rFonts w:ascii="Palatino Linotype" w:hAnsi="Palatino Linotype" w:cs="Times New Roman"/>
          <w:b/>
          <w:bCs/>
        </w:rPr>
        <w:t>mahkeme kararının objektif etkisi</w:t>
      </w:r>
      <w:r w:rsidRPr="00C47AC0">
        <w:rPr>
          <w:rFonts w:ascii="Palatino Linotype" w:hAnsi="Palatino Linotype" w:cs="Times New Roman"/>
          <w:b/>
          <w:bCs/>
        </w:rPr>
        <w:t>nin</w:t>
      </w:r>
      <w:r w:rsidR="00DD4EB8" w:rsidRPr="00C47AC0">
        <w:rPr>
          <w:rFonts w:ascii="Palatino Linotype" w:hAnsi="Palatino Linotype" w:cs="Times New Roman"/>
        </w:rPr>
        <w:t xml:space="preserve"> </w:t>
      </w:r>
      <w:r w:rsidRPr="00C47AC0">
        <w:rPr>
          <w:rFonts w:ascii="Palatino Linotype" w:hAnsi="Palatino Linotype" w:cs="Times New Roman"/>
        </w:rPr>
        <w:t xml:space="preserve">olduğunu, benzer davalara ve işlemlere uygulanması gerektiğini </w:t>
      </w:r>
      <w:r w:rsidR="00DD4EB8" w:rsidRPr="00C47AC0">
        <w:rPr>
          <w:rFonts w:ascii="Palatino Linotype" w:hAnsi="Palatino Linotype" w:cs="Times New Roman"/>
        </w:rPr>
        <w:t xml:space="preserve">açıkça </w:t>
      </w:r>
      <w:r w:rsidRPr="00C47AC0">
        <w:rPr>
          <w:rFonts w:ascii="Palatino Linotype" w:hAnsi="Palatino Linotype" w:cs="Times New Roman"/>
        </w:rPr>
        <w:t xml:space="preserve">ortaya koymuşlardır. </w:t>
      </w:r>
      <w:r w:rsidR="00DD4EB8" w:rsidRPr="00C47AC0">
        <w:rPr>
          <w:rFonts w:ascii="Palatino Linotype" w:hAnsi="Palatino Linotype" w:cs="Times New Roman"/>
        </w:rPr>
        <w:lastRenderedPageBreak/>
        <w:t xml:space="preserve">Mahkemenin objektif işlevi, Anayasa’nın </w:t>
      </w:r>
      <w:r w:rsidR="00A5622E" w:rsidRPr="00C47AC0">
        <w:rPr>
          <w:rFonts w:ascii="Palatino Linotype" w:hAnsi="Palatino Linotype" w:cs="Times New Roman"/>
        </w:rPr>
        <w:t xml:space="preserve">ve Sözleşme’nin </w:t>
      </w:r>
      <w:r w:rsidR="00DD4EB8" w:rsidRPr="00C47AC0">
        <w:rPr>
          <w:rFonts w:ascii="Palatino Linotype" w:hAnsi="Palatino Linotype" w:cs="Times New Roman"/>
        </w:rPr>
        <w:t>temel hak ve özgürlükleri düzenleyen hükümlerini yorumlamak ve bunların uygulanmasını gözetmektir.</w:t>
      </w:r>
      <w:r w:rsidR="00A5622E" w:rsidRPr="00C47AC0">
        <w:rPr>
          <w:rFonts w:ascii="Palatino Linotype" w:hAnsi="Palatino Linotype" w:cs="Times New Roman"/>
        </w:rPr>
        <w:t xml:space="preserve"> Dolayısıyla </w:t>
      </w:r>
      <w:r w:rsidR="00AE78E5" w:rsidRPr="00C47AC0">
        <w:rPr>
          <w:rFonts w:ascii="Palatino Linotype" w:hAnsi="Palatino Linotype" w:cs="Times New Roman"/>
          <w:bCs/>
        </w:rPr>
        <w:t>AYM/AİHM’in bir bireysel başvuruda verdiği ihlâl kararı benzer diğer olaylar açısından da bağlayıcıdır ve kamu otoriteleri ve mahkemelerce dikkate alın</w:t>
      </w:r>
      <w:r w:rsidR="00A5622E" w:rsidRPr="00C47AC0">
        <w:rPr>
          <w:rFonts w:ascii="Palatino Linotype" w:hAnsi="Palatino Linotype" w:cs="Times New Roman"/>
          <w:bCs/>
        </w:rPr>
        <w:t>malıdır</w:t>
      </w:r>
      <w:r w:rsidR="00AE78E5" w:rsidRPr="00C47AC0">
        <w:rPr>
          <w:rFonts w:ascii="Palatino Linotype" w:hAnsi="Palatino Linotype" w:cs="Times New Roman"/>
          <w:bCs/>
        </w:rPr>
        <w:t>. Bu nedenle bireysel başvurudan beklenen faydanın sağlanabilmesi için bireysel başvurunun objektif işlevi ön plana çıkarılmalı ve bireysel başvuru kararlarının genel (</w:t>
      </w:r>
      <w:proofErr w:type="spellStart"/>
      <w:r w:rsidR="00AE78E5" w:rsidRPr="00C47AC0">
        <w:rPr>
          <w:rFonts w:ascii="Palatino Linotype" w:hAnsi="Palatino Linotype" w:cs="Times New Roman"/>
          <w:bCs/>
          <w:i/>
          <w:iCs/>
        </w:rPr>
        <w:t>erga</w:t>
      </w:r>
      <w:proofErr w:type="spellEnd"/>
      <w:r w:rsidR="00AE78E5" w:rsidRPr="00C47AC0">
        <w:rPr>
          <w:rFonts w:ascii="Palatino Linotype" w:hAnsi="Palatino Linotype" w:cs="Times New Roman"/>
          <w:bCs/>
          <w:i/>
          <w:iCs/>
        </w:rPr>
        <w:t xml:space="preserve"> </w:t>
      </w:r>
      <w:proofErr w:type="spellStart"/>
      <w:r w:rsidR="00AE78E5" w:rsidRPr="00C47AC0">
        <w:rPr>
          <w:rFonts w:ascii="Palatino Linotype" w:hAnsi="Palatino Linotype" w:cs="Times New Roman"/>
          <w:bCs/>
          <w:i/>
          <w:iCs/>
        </w:rPr>
        <w:t>omnes</w:t>
      </w:r>
      <w:proofErr w:type="spellEnd"/>
      <w:r w:rsidR="00AE78E5" w:rsidRPr="00C47AC0">
        <w:rPr>
          <w:rFonts w:ascii="Palatino Linotype" w:hAnsi="Palatino Linotype" w:cs="Times New Roman"/>
          <w:bCs/>
        </w:rPr>
        <w:t>) bağlayıcılığı hayata geçiril</w:t>
      </w:r>
      <w:r w:rsidR="00A5622E" w:rsidRPr="00C47AC0">
        <w:rPr>
          <w:rFonts w:ascii="Palatino Linotype" w:hAnsi="Palatino Linotype" w:cs="Times New Roman"/>
          <w:bCs/>
        </w:rPr>
        <w:t xml:space="preserve">melidir. </w:t>
      </w:r>
      <w:r w:rsidR="00AE78E5" w:rsidRPr="00C47AC0">
        <w:rPr>
          <w:rFonts w:ascii="Palatino Linotype" w:hAnsi="Palatino Linotype" w:cs="Times New Roman"/>
          <w:bCs/>
        </w:rPr>
        <w:t xml:space="preserve">Yani AYM/AİHM bir konuda ihlâl kararı verdikten sonra kamu idareleri uygulamalarını, diğer mahkemeler de kararlarını AYM/AİHM kararı ile uyumlu hale getirmelidir. Esasen bu, </w:t>
      </w:r>
      <w:r w:rsidR="00A5622E" w:rsidRPr="00C47AC0">
        <w:rPr>
          <w:rFonts w:ascii="Palatino Linotype" w:hAnsi="Palatino Linotype" w:cs="Times New Roman"/>
          <w:bCs/>
        </w:rPr>
        <w:t>AİHM/</w:t>
      </w:r>
      <w:r w:rsidR="00AE78E5" w:rsidRPr="00C47AC0">
        <w:rPr>
          <w:rFonts w:ascii="Palatino Linotype" w:hAnsi="Palatino Linotype" w:cs="Times New Roman"/>
          <w:bCs/>
        </w:rPr>
        <w:t xml:space="preserve">AYM’nin de belirttiği gibi, bireysel başvuru yolunun ve AYM/AİHM’in yetkisinin </w:t>
      </w:r>
      <w:r w:rsidR="00AE78E5" w:rsidRPr="00C47AC0">
        <w:rPr>
          <w:rFonts w:ascii="Palatino Linotype" w:hAnsi="Palatino Linotype" w:cs="Times New Roman"/>
          <w:bCs/>
          <w:i/>
          <w:iCs/>
        </w:rPr>
        <w:t>“ikincilliği”</w:t>
      </w:r>
      <w:r w:rsidR="00AE78E5" w:rsidRPr="00C47AC0">
        <w:rPr>
          <w:rFonts w:ascii="Palatino Linotype" w:hAnsi="Palatino Linotype" w:cs="Times New Roman"/>
          <w:bCs/>
        </w:rPr>
        <w:t xml:space="preserve"> ilkesinin de gereğidir. Bu nedenle zaten Anayasa Mahkemesine</w:t>
      </w:r>
      <w:r w:rsidR="00A5622E" w:rsidRPr="00C47AC0">
        <w:rPr>
          <w:rFonts w:ascii="Palatino Linotype" w:hAnsi="Palatino Linotype" w:cs="Times New Roman"/>
          <w:bCs/>
        </w:rPr>
        <w:t xml:space="preserve"> ve dolayısıyla AİHM’e</w:t>
      </w:r>
      <w:r w:rsidR="00AE78E5" w:rsidRPr="00C47AC0">
        <w:rPr>
          <w:rFonts w:ascii="Palatino Linotype" w:hAnsi="Palatino Linotype" w:cs="Times New Roman"/>
          <w:bCs/>
        </w:rPr>
        <w:t xml:space="preserve"> başvurmadan önce diğer hukuk yollarının tüketilmesi koşulu getirilmiştir. Temel hak ve özgürlüklerin öncelikle kamu makamları ve derece mahkemeleri tarafından korunması gerekir.</w:t>
      </w:r>
      <w:r w:rsidR="0098439E" w:rsidRPr="00C47AC0">
        <w:rPr>
          <w:rFonts w:ascii="Palatino Linotype" w:hAnsi="Palatino Linotype" w:cs="Times New Roman"/>
        </w:rPr>
        <w:t xml:space="preserve"> </w:t>
      </w:r>
    </w:p>
    <w:p w14:paraId="30756F25" w14:textId="77777777" w:rsidR="00CC34E0" w:rsidRPr="00C47AC0" w:rsidRDefault="00DD4EB8" w:rsidP="000927EB">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t>Anayasa’nın 138. maddesi genel olarak yargı kararlarının, 153. maddesi ise özel olarak Anayasa Mahkemesi kararlarının bağlayıcılığını açık ve kesin bir dille düzenlemektedir. Buna göre, “</w:t>
      </w:r>
      <w:r w:rsidRPr="00C47AC0">
        <w:rPr>
          <w:rFonts w:ascii="Palatino Linotype" w:hAnsi="Palatino Linotype" w:cs="Times New Roman"/>
          <w:i/>
          <w:iCs/>
        </w:rPr>
        <w:t>yasama ve yürütme organları ile idare, mahkeme kararlarına uymak zorundadır</w:t>
      </w:r>
      <w:r w:rsidRPr="00C47AC0">
        <w:rPr>
          <w:rFonts w:ascii="Palatino Linotype" w:hAnsi="Palatino Linotype" w:cs="Times New Roman"/>
        </w:rPr>
        <w:t>” (m. 138) ve Anayasa Mahkemesinin kararları “</w:t>
      </w:r>
      <w:r w:rsidRPr="00C47AC0">
        <w:rPr>
          <w:rFonts w:ascii="Palatino Linotype" w:hAnsi="Palatino Linotype" w:cs="Times New Roman"/>
          <w:i/>
          <w:iCs/>
        </w:rPr>
        <w:t>yasama, yürütme ve yargı organlarını, idare makamlarını, gerçek ve tüzelkişileri bağlar</w:t>
      </w:r>
      <w:r w:rsidRPr="00C47AC0">
        <w:rPr>
          <w:rFonts w:ascii="Palatino Linotype" w:hAnsi="Palatino Linotype" w:cs="Times New Roman"/>
        </w:rPr>
        <w:t>” (m.153).</w:t>
      </w:r>
      <w:r w:rsidRPr="00C47AC0">
        <w:rPr>
          <w:rFonts w:ascii="Palatino Linotype" w:hAnsi="Palatino Linotype" w:cs="Times New Roman"/>
          <w:color w:val="323232"/>
          <w:shd w:val="clear" w:color="auto" w:fill="FFFFFF"/>
        </w:rPr>
        <w:t xml:space="preserve"> </w:t>
      </w:r>
      <w:r w:rsidRPr="00C47AC0">
        <w:rPr>
          <w:rFonts w:ascii="Palatino Linotype" w:hAnsi="Palatino Linotype" w:cs="Times New Roman"/>
        </w:rPr>
        <w:t>Anayasa Mahkemesi kararlarında vurgulandığı üzere, Anayasa'nın 153. maddesinin son fıkrasında Anayasa Mahkemesi kararlarına uyma ve bu kararları değiştirmeksizin yerine getirme hususunda yargı dâhil hiçbir kuruma herhangi bir takdir yetkisi tanınmamış veya bu konuda bir istisnaya yer verilmemiştir</w:t>
      </w:r>
      <w:r w:rsidR="00CC34E0" w:rsidRPr="00C47AC0">
        <w:rPr>
          <w:rFonts w:ascii="Palatino Linotype" w:hAnsi="Palatino Linotype" w:cs="Times New Roman"/>
        </w:rPr>
        <w:t xml:space="preserve"> </w:t>
      </w:r>
      <w:r w:rsidRPr="00C47AC0">
        <w:rPr>
          <w:rFonts w:ascii="Palatino Linotype" w:hAnsi="Palatino Linotype" w:cs="Times New Roman"/>
        </w:rPr>
        <w:t>(Aym:</w:t>
      </w:r>
      <w:r w:rsidRPr="00C47AC0">
        <w:rPr>
          <w:rFonts w:ascii="Palatino Linotype" w:hAnsi="Palatino Linotype" w:cs="Times New Roman"/>
          <w:i/>
          <w:iCs/>
          <w:color w:val="323232"/>
          <w:shd w:val="clear" w:color="auto" w:fill="FFFFFF"/>
        </w:rPr>
        <w:t xml:space="preserve"> </w:t>
      </w:r>
      <w:r w:rsidRPr="00C47AC0">
        <w:rPr>
          <w:rFonts w:ascii="Palatino Linotype" w:hAnsi="Palatino Linotype" w:cs="Times New Roman"/>
          <w:i/>
          <w:iCs/>
        </w:rPr>
        <w:t>Şahin Alpay (2)</w:t>
      </w:r>
      <w:r w:rsidRPr="00C47AC0">
        <w:rPr>
          <w:rFonts w:ascii="Palatino Linotype" w:hAnsi="Palatino Linotype" w:cs="Times New Roman"/>
        </w:rPr>
        <w:t> [GK], B. No: 2018/3007, 15/3/2018, § 63; </w:t>
      </w:r>
      <w:r w:rsidRPr="00C47AC0">
        <w:rPr>
          <w:rFonts w:ascii="Palatino Linotype" w:hAnsi="Palatino Linotype" w:cs="Times New Roman"/>
          <w:i/>
          <w:iCs/>
        </w:rPr>
        <w:t>Kadri Enis Berberoğlu (3)</w:t>
      </w:r>
      <w:r w:rsidRPr="00C47AC0">
        <w:rPr>
          <w:rFonts w:ascii="Palatino Linotype" w:hAnsi="Palatino Linotype" w:cs="Times New Roman"/>
        </w:rPr>
        <w:t>, § 102).</w:t>
      </w:r>
    </w:p>
    <w:p w14:paraId="38871179" w14:textId="55939B85" w:rsidR="00CC34E0" w:rsidRPr="00C47AC0" w:rsidRDefault="00DD4EB8" w:rsidP="00826D44">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t xml:space="preserve">Avrupa İnsan Hakları Mahkemesi kararları, Avrupa İnsan Hakları Sözleşmesi’ne taraf Devletler açısından bağlayıcıdır. Sözleşmesi’nin 46. </w:t>
      </w:r>
      <w:r w:rsidR="00CC1997" w:rsidRPr="00C47AC0">
        <w:rPr>
          <w:rFonts w:ascii="Palatino Linotype" w:hAnsi="Palatino Linotype" w:cs="Times New Roman"/>
        </w:rPr>
        <w:t>m</w:t>
      </w:r>
      <w:r w:rsidRPr="00C47AC0">
        <w:rPr>
          <w:rFonts w:ascii="Palatino Linotype" w:hAnsi="Palatino Linotype" w:cs="Times New Roman"/>
        </w:rPr>
        <w:t>addesinin 1. fıkrasına göre, Sözleşmeci Taraflar, taraf oldukları davalarda Mahkemenin kesinleşmiş kararlarına uymayı taahhüt ederler</w:t>
      </w:r>
      <w:r w:rsidR="00CC34E0" w:rsidRPr="00C47AC0">
        <w:rPr>
          <w:rFonts w:ascii="Palatino Linotype" w:hAnsi="Palatino Linotype" w:cs="Times New Roman"/>
        </w:rPr>
        <w:t>.</w:t>
      </w:r>
      <w:r w:rsidR="0098439E" w:rsidRPr="00C47AC0">
        <w:rPr>
          <w:rFonts w:ascii="Palatino Linotype" w:hAnsi="Palatino Linotype" w:cs="Times New Roman"/>
        </w:rPr>
        <w:t xml:space="preserve"> </w:t>
      </w:r>
      <w:r w:rsidR="0098439E" w:rsidRPr="00C47AC0">
        <w:rPr>
          <w:rFonts w:ascii="Palatino Linotype" w:hAnsi="Palatino Linotype" w:cs="Times New Roman"/>
          <w:b/>
          <w:bCs/>
        </w:rPr>
        <w:t>AİHS</w:t>
      </w:r>
      <w:r w:rsidR="00CC1997" w:rsidRPr="00C47AC0">
        <w:rPr>
          <w:rFonts w:ascii="Palatino Linotype" w:hAnsi="Palatino Linotype" w:cs="Times New Roman"/>
          <w:b/>
          <w:bCs/>
        </w:rPr>
        <w:t>’in</w:t>
      </w:r>
      <w:r w:rsidR="0098439E" w:rsidRPr="00C47AC0">
        <w:rPr>
          <w:rFonts w:ascii="Palatino Linotype" w:hAnsi="Palatino Linotype" w:cs="Times New Roman"/>
          <w:b/>
          <w:bCs/>
        </w:rPr>
        <w:t xml:space="preserve"> 46. </w:t>
      </w:r>
      <w:r w:rsidR="00CC1997" w:rsidRPr="00C47AC0">
        <w:rPr>
          <w:rFonts w:ascii="Palatino Linotype" w:hAnsi="Palatino Linotype" w:cs="Times New Roman"/>
          <w:b/>
          <w:bCs/>
        </w:rPr>
        <w:t>m</w:t>
      </w:r>
      <w:r w:rsidR="0098439E" w:rsidRPr="00C47AC0">
        <w:rPr>
          <w:rFonts w:ascii="Palatino Linotype" w:hAnsi="Palatino Linotype" w:cs="Times New Roman"/>
          <w:b/>
          <w:bCs/>
        </w:rPr>
        <w:t>adde</w:t>
      </w:r>
      <w:r w:rsidR="00CC1997" w:rsidRPr="00C47AC0">
        <w:rPr>
          <w:rFonts w:ascii="Palatino Linotype" w:hAnsi="Palatino Linotype" w:cs="Times New Roman"/>
          <w:b/>
          <w:bCs/>
        </w:rPr>
        <w:t>si</w:t>
      </w:r>
      <w:r w:rsidR="0098439E" w:rsidRPr="00C47AC0">
        <w:rPr>
          <w:rFonts w:ascii="Palatino Linotype" w:hAnsi="Palatino Linotype" w:cs="Times New Roman"/>
          <w:b/>
          <w:bCs/>
        </w:rPr>
        <w:t xml:space="preserve"> gereği</w:t>
      </w:r>
      <w:r w:rsidR="00CC1997" w:rsidRPr="00C47AC0">
        <w:rPr>
          <w:rFonts w:ascii="Palatino Linotype" w:hAnsi="Palatino Linotype" w:cs="Times New Roman"/>
          <w:b/>
          <w:bCs/>
        </w:rPr>
        <w:t>nce</w:t>
      </w:r>
      <w:r w:rsidR="0098439E" w:rsidRPr="00C47AC0">
        <w:rPr>
          <w:rFonts w:ascii="Palatino Linotype" w:hAnsi="Palatino Linotype" w:cs="Times New Roman"/>
          <w:b/>
          <w:bCs/>
        </w:rPr>
        <w:t xml:space="preserve"> Türkiye bu karara uymak zorundadır. Bunun için bir kanuni düzenlemeye gerek yoktur. Yargı kurumları doğrudan bu içtihada uymakla mükellef olup bugüne kadar da bunun birçok örneği olmuştur.</w:t>
      </w:r>
    </w:p>
    <w:p w14:paraId="73F62854" w14:textId="77777777" w:rsidR="00060B5D" w:rsidRPr="00C47AC0" w:rsidRDefault="00DD4EB8" w:rsidP="004978F0">
      <w:pPr>
        <w:pStyle w:val="ListeParagraf"/>
        <w:numPr>
          <w:ilvl w:val="0"/>
          <w:numId w:val="2"/>
        </w:numPr>
        <w:tabs>
          <w:tab w:val="left" w:pos="3870"/>
        </w:tabs>
        <w:spacing w:line="360" w:lineRule="auto"/>
        <w:ind w:left="630" w:right="-378"/>
        <w:jc w:val="both"/>
        <w:rPr>
          <w:rFonts w:ascii="Palatino Linotype" w:hAnsi="Palatino Linotype" w:cs="Times New Roman"/>
          <w:b/>
          <w:bCs/>
        </w:rPr>
      </w:pPr>
      <w:r w:rsidRPr="00C47AC0">
        <w:rPr>
          <w:rFonts w:ascii="Palatino Linotype" w:hAnsi="Palatino Linotype" w:cs="Times New Roman"/>
        </w:rPr>
        <w:t>İlgili Devlet ihlali sona erdirmek ve mümkün olduğunca ihlal öncesi durumu yeniden sağlayacak şekilde ihlalin sonuçlarını giderme yükümlülüğü altındadır</w:t>
      </w:r>
      <w:r w:rsidR="00CC34E0" w:rsidRPr="00C47AC0">
        <w:rPr>
          <w:rFonts w:ascii="Palatino Linotype" w:hAnsi="Palatino Linotype" w:cs="Times New Roman"/>
        </w:rPr>
        <w:t xml:space="preserve">. </w:t>
      </w:r>
      <w:r w:rsidRPr="00C47AC0">
        <w:rPr>
          <w:rFonts w:ascii="Palatino Linotype" w:hAnsi="Palatino Linotype" w:cs="Times New Roman"/>
        </w:rPr>
        <w:t xml:space="preserve">Türkiye Cumhuriyeti AİHS’e taraf bir devlettir. AİHS’e taraf devlet olmak, AİHM’in zorunlu yargı yetkisini tanımayı ve bu yargı yetkisinin kullanılması sonucu verilen ihlal kararlarının gerektirdiği ihlal giderici </w:t>
      </w:r>
      <w:r w:rsidRPr="00C47AC0">
        <w:rPr>
          <w:rFonts w:ascii="Palatino Linotype" w:hAnsi="Palatino Linotype" w:cs="Times New Roman"/>
        </w:rPr>
        <w:lastRenderedPageBreak/>
        <w:t xml:space="preserve">tedbirleri almayı gerektirmektedir. AİHM kararlarının ihlal giderici önlemler gerektirmesi devlet sorumluluğu hukukunun temel ilkelerinin insan hakları hukuku alanında uygulanmasının doğal bir sonucudur. Devlet sorumluluğu hukukunun temel ilkeleri uluslararası hukukun tüm alanlarında geçerlidir ve AİHM bu ilkeler doğrultusunda karar vermekte, insan hakları kararlarının uygulanmasını takip eden ve Türkiye’nin de temsil edildiği Avrupa Konseyi Bakanlar Komitesi kararlarının uygulanmasını bu ilkeler doğrultusunda denetlemektedir. Buna göre, uluslararası hukukta bir kuralın ihlal edilmesi demek, adaletin bozulduğu anlamına gelmektedir. Bu adaletin tesis edilmesi için bu ihlalin devam ediyorsa sonlandırılması, mümkünse ortadan kaldırılması, bütünüyle ortadan kaldırılması mümkün değilse de zararın tazmin edilmesi gerekmektedir. Bir başka deyişle, </w:t>
      </w:r>
      <w:r w:rsidRPr="00C47AC0">
        <w:rPr>
          <w:rFonts w:ascii="Palatino Linotype" w:hAnsi="Palatino Linotype" w:cs="Times New Roman"/>
          <w:b/>
          <w:bCs/>
        </w:rPr>
        <w:t>AİHM’in kararının anlamı, uluslararası hukuka aykırılığın ulusal hukuk tarafından ortadan kaldırılması gerekliliğinin saptanmasıdır. Bu saptamanın ardından ihlali giderme ödevi ulusal mercilerindir.</w:t>
      </w:r>
    </w:p>
    <w:p w14:paraId="440A4E5F" w14:textId="2E85A945" w:rsidR="00924F0F" w:rsidRPr="00B84193" w:rsidRDefault="00060B5D" w:rsidP="00B84193">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t>Türkiye</w:t>
      </w:r>
      <w:r w:rsidR="00AE4031" w:rsidRPr="00C47AC0">
        <w:rPr>
          <w:rFonts w:ascii="Palatino Linotype" w:hAnsi="Palatino Linotype" w:cs="Times New Roman"/>
        </w:rPr>
        <w:t>’de</w:t>
      </w:r>
      <w:r w:rsidRPr="00C47AC0">
        <w:rPr>
          <w:rFonts w:ascii="Palatino Linotype" w:hAnsi="Palatino Linotype" w:cs="Times New Roman"/>
        </w:rPr>
        <w:t xml:space="preserve"> de, </w:t>
      </w:r>
      <w:r w:rsidR="00AE4031" w:rsidRPr="00C47AC0">
        <w:rPr>
          <w:rFonts w:ascii="Palatino Linotype" w:hAnsi="Palatino Linotype" w:cs="Times New Roman"/>
        </w:rPr>
        <w:t xml:space="preserve">Yasama, Yürütme ve Yargı </w:t>
      </w:r>
      <w:r w:rsidRPr="00C47AC0">
        <w:rPr>
          <w:rFonts w:ascii="Palatino Linotype" w:hAnsi="Palatino Linotype" w:cs="Times New Roman"/>
        </w:rPr>
        <w:t>Anayasanın 90. ve Sözleşme’nin 46</w:t>
      </w:r>
      <w:r w:rsidR="00CC1997" w:rsidRPr="00C47AC0">
        <w:rPr>
          <w:rFonts w:ascii="Palatino Linotype" w:hAnsi="Palatino Linotype" w:cs="Times New Roman"/>
        </w:rPr>
        <w:t xml:space="preserve">. </w:t>
      </w:r>
      <w:r w:rsidR="00924F0F" w:rsidRPr="00C47AC0">
        <w:rPr>
          <w:rFonts w:ascii="Palatino Linotype" w:hAnsi="Palatino Linotype" w:cs="Times New Roman"/>
        </w:rPr>
        <w:t>m</w:t>
      </w:r>
      <w:r w:rsidR="00CC1997" w:rsidRPr="00C47AC0">
        <w:rPr>
          <w:rFonts w:ascii="Palatino Linotype" w:hAnsi="Palatino Linotype" w:cs="Times New Roman"/>
        </w:rPr>
        <w:t>addeleri gereği</w:t>
      </w:r>
      <w:r w:rsidR="00AE4031" w:rsidRPr="00C47AC0">
        <w:rPr>
          <w:rFonts w:ascii="Palatino Linotype" w:hAnsi="Palatino Linotype" w:cs="Times New Roman"/>
        </w:rPr>
        <w:t xml:space="preserve"> tespit edilen ihlali gidermekle yükümlüdürler.</w:t>
      </w:r>
    </w:p>
    <w:p w14:paraId="105394DC" w14:textId="77777777" w:rsidR="00B84193" w:rsidRDefault="00AE4031" w:rsidP="00B84193">
      <w:pPr>
        <w:pStyle w:val="ListeParagraf"/>
        <w:tabs>
          <w:tab w:val="left" w:pos="3870"/>
        </w:tabs>
        <w:spacing w:line="360" w:lineRule="auto"/>
        <w:ind w:left="0" w:right="-378"/>
        <w:jc w:val="both"/>
        <w:rPr>
          <w:rFonts w:ascii="Palatino Linotype" w:hAnsi="Palatino Linotype" w:cs="Times New Roman"/>
          <w:b/>
          <w:bCs/>
        </w:rPr>
      </w:pPr>
      <w:r w:rsidRPr="00C47AC0">
        <w:rPr>
          <w:rFonts w:ascii="Palatino Linotype" w:hAnsi="Palatino Linotype" w:cs="Times New Roman"/>
          <w:b/>
          <w:bCs/>
        </w:rPr>
        <w:t>V. Talep</w:t>
      </w:r>
    </w:p>
    <w:p w14:paraId="59CB3B1C" w14:textId="77777777" w:rsidR="00B84193" w:rsidRPr="00B84193" w:rsidRDefault="00B84193" w:rsidP="00B84193">
      <w:pPr>
        <w:pStyle w:val="ListeParagraf"/>
        <w:numPr>
          <w:ilvl w:val="0"/>
          <w:numId w:val="5"/>
        </w:numPr>
        <w:tabs>
          <w:tab w:val="left" w:pos="3870"/>
        </w:tabs>
        <w:spacing w:line="360" w:lineRule="auto"/>
        <w:ind w:right="-378" w:hanging="436"/>
        <w:jc w:val="both"/>
        <w:rPr>
          <w:rFonts w:ascii="Palatino Linotype" w:hAnsi="Palatino Linotype" w:cs="Times New Roman"/>
          <w:b/>
          <w:bCs/>
        </w:rPr>
      </w:pPr>
      <w:r w:rsidRPr="00B84193">
        <w:rPr>
          <w:rFonts w:ascii="Palatino Linotype" w:hAnsi="Palatino Linotype" w:cs="Times New Roman"/>
          <w:bCs/>
          <w:color w:val="010000"/>
          <w:shd w:val="clear" w:color="auto" w:fill="FFFFFF"/>
        </w:rPr>
        <w:t>AİHM tarafından vurgulandığı üzere, salt ByLock kullanım tespitinin örgütün hiyerarşik yapısına dâhil olup örgütün amaçları doğrultusunda gerçekleştirmeyi planladığı şiddet eylemlerinin hayata geçirilmesi noktasında özel kasta sahip olma iradesini ortaya koyma anlamı taşımadığı, sırf kullanım tespitine dayanarak kişileri silahlı terör örgütüne üyelik suçundan mahkûm etmenin kanunilik ve öngörülebilirlik ilkesini ihlal ettiği ortadadır.</w:t>
      </w:r>
    </w:p>
    <w:p w14:paraId="284D84AE" w14:textId="0A041E4C" w:rsidR="00B84193" w:rsidRPr="00B84193" w:rsidRDefault="00B84193" w:rsidP="00B84193">
      <w:pPr>
        <w:pStyle w:val="ListeParagraf"/>
        <w:numPr>
          <w:ilvl w:val="0"/>
          <w:numId w:val="5"/>
        </w:numPr>
        <w:tabs>
          <w:tab w:val="left" w:pos="3870"/>
        </w:tabs>
        <w:spacing w:line="360" w:lineRule="auto"/>
        <w:ind w:right="-378" w:hanging="436"/>
        <w:jc w:val="both"/>
        <w:rPr>
          <w:rFonts w:ascii="Palatino Linotype" w:hAnsi="Palatino Linotype" w:cs="Times New Roman"/>
          <w:b/>
          <w:bCs/>
        </w:rPr>
      </w:pPr>
      <w:r w:rsidRPr="00B84193">
        <w:rPr>
          <w:rFonts w:ascii="Palatino Linotype" w:hAnsi="Palatino Linotype" w:cs="Times New Roman"/>
          <w:bCs/>
          <w:color w:val="010000"/>
          <w:shd w:val="clear" w:color="auto" w:fill="FFFFFF"/>
        </w:rPr>
        <w:t>Aynı şekilde AİHM tarafından yapılan değerlendirme ve ortaya konulan kriterlerden hareketle, kişilerin silahlı terör örgütüne üye olma suçundan mahkûmiyetlerine ister asli isterse tali anlamda delil olarak kabul edilsin; dini sohbetlere katılma, özel okula çocuğunu gönderme, bankaya para yatırma gibi eylemlerin de Anayasanın 38’inci ve AİHS’nin 7’nci maddeleri kapsamında suç ve cezaların kanuniliği ilkesi ile bağdaşmadığı ve bu eylemlerin silahlı terör örgütünün amaçlarını gerçekleştirmek için bilerek ve isteyerek hiyerarşik yapıya dahil olarak atılı suçun işlenmesi kapsamında bulgu olarak kabullerinin de kanunilik ve öngörülebilirlik kriterini karşılamadığı izahtan varestedir.</w:t>
      </w:r>
    </w:p>
    <w:p w14:paraId="265424C6" w14:textId="7974A029" w:rsidR="00CC1997" w:rsidRPr="00B70657" w:rsidRDefault="00013342" w:rsidP="00DC5A41">
      <w:pPr>
        <w:pStyle w:val="ListeParagraf"/>
        <w:numPr>
          <w:ilvl w:val="0"/>
          <w:numId w:val="3"/>
        </w:numPr>
        <w:tabs>
          <w:tab w:val="left" w:pos="3870"/>
        </w:tabs>
        <w:spacing w:line="360" w:lineRule="auto"/>
        <w:ind w:left="990" w:right="-378"/>
        <w:jc w:val="both"/>
        <w:rPr>
          <w:rFonts w:ascii="Palatino Linotype" w:hAnsi="Palatino Linotype" w:cs="Times New Roman"/>
          <w:bCs/>
          <w:color w:val="010000"/>
          <w:shd w:val="clear" w:color="auto" w:fill="FFFFFF"/>
        </w:rPr>
      </w:pPr>
      <w:r w:rsidRPr="00C47AC0">
        <w:rPr>
          <w:rFonts w:ascii="Palatino Linotype" w:hAnsi="Palatino Linotype" w:cs="Times New Roman"/>
          <w:color w:val="010000"/>
          <w:shd w:val="clear" w:color="auto" w:fill="FFFFFF"/>
        </w:rPr>
        <w:t xml:space="preserve">AİHM’in </w:t>
      </w:r>
      <w:r w:rsidR="00AE4031" w:rsidRPr="00C47AC0">
        <w:rPr>
          <w:rFonts w:ascii="Palatino Linotype" w:hAnsi="Palatino Linotype" w:cs="Times New Roman"/>
          <w:color w:val="010000"/>
          <w:shd w:val="clear" w:color="auto" w:fill="FFFFFF"/>
        </w:rPr>
        <w:t>Yalçınkaya kararı</w:t>
      </w:r>
      <w:r w:rsidRPr="00C47AC0">
        <w:rPr>
          <w:rFonts w:ascii="Palatino Linotype" w:hAnsi="Palatino Linotype" w:cs="Times New Roman"/>
          <w:color w:val="010000"/>
          <w:shd w:val="clear" w:color="auto" w:fill="FFFFFF"/>
        </w:rPr>
        <w:t>nda</w:t>
      </w:r>
      <w:r w:rsidR="00CC1997" w:rsidRPr="00C47AC0">
        <w:rPr>
          <w:rFonts w:ascii="Palatino Linotype" w:hAnsi="Palatino Linotype" w:cs="Times New Roman"/>
          <w:color w:val="010000"/>
          <w:shd w:val="clear" w:color="auto" w:fill="FFFFFF"/>
        </w:rPr>
        <w:t xml:space="preserve"> </w:t>
      </w:r>
      <w:r w:rsidRPr="00C47AC0">
        <w:rPr>
          <w:rFonts w:ascii="Palatino Linotype" w:hAnsi="Palatino Linotype" w:cs="Times New Roman"/>
          <w:color w:val="010000"/>
          <w:shd w:val="clear" w:color="auto" w:fill="FFFFFF"/>
        </w:rPr>
        <w:t xml:space="preserve">Sözleşme’nin </w:t>
      </w:r>
      <w:r w:rsidR="00CC1997" w:rsidRPr="00C47AC0">
        <w:rPr>
          <w:rFonts w:ascii="Palatino Linotype" w:hAnsi="Palatino Linotype" w:cs="Times New Roman"/>
          <w:color w:val="010000"/>
          <w:shd w:val="clear" w:color="auto" w:fill="FFFFFF"/>
        </w:rPr>
        <w:t xml:space="preserve">7. </w:t>
      </w:r>
      <w:r w:rsidRPr="00C47AC0">
        <w:rPr>
          <w:rFonts w:ascii="Palatino Linotype" w:hAnsi="Palatino Linotype" w:cs="Times New Roman"/>
          <w:color w:val="010000"/>
          <w:shd w:val="clear" w:color="auto" w:fill="FFFFFF"/>
        </w:rPr>
        <w:t>m</w:t>
      </w:r>
      <w:r w:rsidR="00CC1997" w:rsidRPr="00C47AC0">
        <w:rPr>
          <w:rFonts w:ascii="Palatino Linotype" w:hAnsi="Palatino Linotype" w:cs="Times New Roman"/>
          <w:color w:val="010000"/>
          <w:shd w:val="clear" w:color="auto" w:fill="FFFFFF"/>
        </w:rPr>
        <w:t>addesin</w:t>
      </w:r>
      <w:r w:rsidRPr="00C47AC0">
        <w:rPr>
          <w:rFonts w:ascii="Palatino Linotype" w:hAnsi="Palatino Linotype" w:cs="Times New Roman"/>
          <w:color w:val="010000"/>
          <w:shd w:val="clear" w:color="auto" w:fill="FFFFFF"/>
        </w:rPr>
        <w:t>in</w:t>
      </w:r>
      <w:r w:rsidR="00CC1997" w:rsidRPr="00C47AC0">
        <w:rPr>
          <w:rFonts w:ascii="Palatino Linotype" w:hAnsi="Palatino Linotype" w:cs="Times New Roman"/>
          <w:color w:val="010000"/>
          <w:shd w:val="clear" w:color="auto" w:fill="FFFFFF"/>
        </w:rPr>
        <w:t xml:space="preserve"> ihlal gerekçesinin özü</w:t>
      </w:r>
      <w:r w:rsidRPr="00C47AC0">
        <w:rPr>
          <w:rFonts w:ascii="Palatino Linotype" w:hAnsi="Palatino Linotype" w:cs="Times New Roman"/>
          <w:color w:val="010000"/>
          <w:shd w:val="clear" w:color="auto" w:fill="FFFFFF"/>
        </w:rPr>
        <w:t xml:space="preserve"> olan</w:t>
      </w:r>
      <w:r w:rsidR="00CC1997" w:rsidRPr="00C47AC0">
        <w:rPr>
          <w:rFonts w:ascii="Palatino Linotype" w:hAnsi="Palatino Linotype" w:cs="Times New Roman"/>
          <w:color w:val="010000"/>
          <w:shd w:val="clear" w:color="auto" w:fill="FFFFFF"/>
        </w:rPr>
        <w:t xml:space="preserve"> </w:t>
      </w:r>
      <w:r w:rsidR="00CC1997" w:rsidRPr="00B84193">
        <w:rPr>
          <w:rFonts w:ascii="Palatino Linotype" w:hAnsi="Palatino Linotype" w:cs="Times New Roman"/>
          <w:color w:val="010000"/>
          <w:shd w:val="clear" w:color="auto" w:fill="FFFFFF"/>
        </w:rPr>
        <w:t>suçun maddi ve manevi unsurunun oluşup oluşmadığı araştırılmadan ve sanki delil</w:t>
      </w:r>
      <w:r w:rsidR="00CC1997" w:rsidRPr="00C47AC0">
        <w:rPr>
          <w:rFonts w:ascii="Palatino Linotype" w:hAnsi="Palatino Linotype" w:cs="Times New Roman"/>
          <w:color w:val="010000"/>
          <w:shd w:val="clear" w:color="auto" w:fill="FFFFFF"/>
        </w:rPr>
        <w:t xml:space="preserve"> olarak gösterilen hususlar suçun unsurları yerine ikame edilerek otomatik ceza verilmesi </w:t>
      </w:r>
      <w:r w:rsidRPr="00C47AC0">
        <w:rPr>
          <w:rFonts w:ascii="Palatino Linotype" w:hAnsi="Palatino Linotype" w:cs="Times New Roman"/>
          <w:color w:val="010000"/>
          <w:shd w:val="clear" w:color="auto" w:fill="FFFFFF"/>
        </w:rPr>
        <w:t xml:space="preserve">hususu </w:t>
      </w:r>
      <w:r w:rsidR="009C6702" w:rsidRPr="00B84193">
        <w:rPr>
          <w:rFonts w:ascii="Palatino Linotype" w:hAnsi="Palatino Linotype" w:cs="Times New Roman"/>
          <w:color w:val="010000"/>
          <w:highlight w:val="yellow"/>
          <w:shd w:val="clear" w:color="auto" w:fill="FFFFFF"/>
        </w:rPr>
        <w:lastRenderedPageBreak/>
        <w:t>benim</w:t>
      </w:r>
      <w:r w:rsidR="00B84193" w:rsidRPr="00B84193">
        <w:rPr>
          <w:rFonts w:ascii="Palatino Linotype" w:hAnsi="Palatino Linotype" w:cs="Times New Roman"/>
          <w:color w:val="010000"/>
          <w:highlight w:val="yellow"/>
          <w:shd w:val="clear" w:color="auto" w:fill="FFFFFF"/>
        </w:rPr>
        <w:t>/eşim/vasisi olduğum …</w:t>
      </w:r>
      <w:r w:rsidR="009C6702" w:rsidRPr="00B84193">
        <w:rPr>
          <w:rFonts w:ascii="Palatino Linotype" w:hAnsi="Palatino Linotype" w:cs="Times New Roman"/>
          <w:color w:val="010000"/>
          <w:highlight w:val="yellow"/>
          <w:shd w:val="clear" w:color="auto" w:fill="FFFFFF"/>
        </w:rPr>
        <w:t xml:space="preserve"> </w:t>
      </w:r>
      <w:r w:rsidR="00CC1997" w:rsidRPr="00B84193">
        <w:rPr>
          <w:rFonts w:ascii="Palatino Linotype" w:hAnsi="Palatino Linotype" w:cs="Times New Roman"/>
          <w:color w:val="010000"/>
          <w:highlight w:val="yellow"/>
          <w:shd w:val="clear" w:color="auto" w:fill="FFFFFF"/>
        </w:rPr>
        <w:t>için</w:t>
      </w:r>
      <w:r w:rsidR="00CC1997" w:rsidRPr="00C47AC0">
        <w:rPr>
          <w:rFonts w:ascii="Palatino Linotype" w:hAnsi="Palatino Linotype" w:cs="Times New Roman"/>
          <w:color w:val="010000"/>
          <w:shd w:val="clear" w:color="auto" w:fill="FFFFFF"/>
        </w:rPr>
        <w:t xml:space="preserve"> de geçerlidir.</w:t>
      </w:r>
      <w:r w:rsidR="004F0048" w:rsidRPr="00C47AC0">
        <w:rPr>
          <w:rFonts w:ascii="Palatino Linotype" w:hAnsi="Palatino Linotype" w:cs="Times New Roman"/>
          <w:color w:val="010000"/>
          <w:shd w:val="clear" w:color="auto" w:fill="FFFFFF"/>
        </w:rPr>
        <w:t xml:space="preserve"> </w:t>
      </w:r>
      <w:r w:rsidRPr="00C47AC0">
        <w:rPr>
          <w:rFonts w:ascii="Palatino Linotype" w:hAnsi="Palatino Linotype" w:cs="Times New Roman"/>
          <w:color w:val="010000"/>
          <w:shd w:val="clear" w:color="auto" w:fill="FFFFFF"/>
        </w:rPr>
        <w:t xml:space="preserve">Çok önemli bir ihlal nedeni olan bu husus </w:t>
      </w:r>
      <w:r w:rsidR="00533040" w:rsidRPr="00C47AC0">
        <w:rPr>
          <w:rFonts w:ascii="Palatino Linotype" w:hAnsi="Palatino Linotype" w:cs="Times New Roman"/>
          <w:color w:val="010000"/>
          <w:shd w:val="clear" w:color="auto" w:fill="FFFFFF"/>
        </w:rPr>
        <w:t>dolayısıyla</w:t>
      </w:r>
      <w:r w:rsidR="004F0048" w:rsidRPr="00C47AC0">
        <w:rPr>
          <w:rFonts w:ascii="Palatino Linotype" w:hAnsi="Palatino Linotype" w:cs="Times New Roman"/>
          <w:color w:val="010000"/>
          <w:shd w:val="clear" w:color="auto" w:fill="FFFFFF"/>
        </w:rPr>
        <w:t xml:space="preserve"> insanların hangi delillerle suçlandığının bir önemi yoktur. Çünkü, ortada delil değerlendirmesine ge</w:t>
      </w:r>
      <w:r w:rsidR="003B099C" w:rsidRPr="00C47AC0">
        <w:rPr>
          <w:rFonts w:ascii="Palatino Linotype" w:hAnsi="Palatino Linotype" w:cs="Times New Roman"/>
          <w:color w:val="010000"/>
          <w:shd w:val="clear" w:color="auto" w:fill="FFFFFF"/>
        </w:rPr>
        <w:t>çilmeden</w:t>
      </w:r>
      <w:r w:rsidR="004F0048" w:rsidRPr="00C47AC0">
        <w:rPr>
          <w:rFonts w:ascii="Palatino Linotype" w:hAnsi="Palatino Linotype" w:cs="Times New Roman"/>
          <w:color w:val="010000"/>
          <w:shd w:val="clear" w:color="auto" w:fill="FFFFFF"/>
        </w:rPr>
        <w:t xml:space="preserve"> halledilmesi gereken daha önemli bir sorun vardır.</w:t>
      </w:r>
      <w:r w:rsidR="003B099C" w:rsidRPr="00C47AC0">
        <w:rPr>
          <w:rFonts w:ascii="Palatino Linotype" w:hAnsi="Palatino Linotype" w:cs="Times New Roman"/>
          <w:color w:val="010000"/>
          <w:shd w:val="clear" w:color="auto" w:fill="FFFFFF"/>
        </w:rPr>
        <w:t xml:space="preserve"> Zira eldeki delillerin cezalandırmada kullanılabilmeleri öncelikle suçun unsurlarının </w:t>
      </w:r>
      <w:r w:rsidR="00533040" w:rsidRPr="00C47AC0">
        <w:rPr>
          <w:rFonts w:ascii="Palatino Linotype" w:hAnsi="Palatino Linotype" w:cs="Times New Roman"/>
          <w:color w:val="010000"/>
          <w:shd w:val="clear" w:color="auto" w:fill="FFFFFF"/>
        </w:rPr>
        <w:t>varlığına</w:t>
      </w:r>
      <w:r w:rsidR="003B099C" w:rsidRPr="00C47AC0">
        <w:rPr>
          <w:rFonts w:ascii="Palatino Linotype" w:hAnsi="Palatino Linotype" w:cs="Times New Roman"/>
          <w:color w:val="010000"/>
          <w:shd w:val="clear" w:color="auto" w:fill="FFFFFF"/>
        </w:rPr>
        <w:t xml:space="preserve"> bağlıdır. Aksi takdirde AİHM’in Yalçınkaya kararında vurguladığı, delillerin suçun unsurlarının yerine ikamesi ve otomatik cezalandırma durumu ortaya çıkar</w:t>
      </w:r>
      <w:r w:rsidR="00533040" w:rsidRPr="00C47AC0">
        <w:rPr>
          <w:rFonts w:ascii="Palatino Linotype" w:hAnsi="Palatino Linotype" w:cs="Times New Roman"/>
          <w:color w:val="010000"/>
          <w:shd w:val="clear" w:color="auto" w:fill="FFFFFF"/>
        </w:rPr>
        <w:t>acaktır</w:t>
      </w:r>
      <w:r w:rsidR="003B099C" w:rsidRPr="00C47AC0">
        <w:rPr>
          <w:rFonts w:ascii="Palatino Linotype" w:hAnsi="Palatino Linotype" w:cs="Times New Roman"/>
          <w:color w:val="010000"/>
          <w:shd w:val="clear" w:color="auto" w:fill="FFFFFF"/>
        </w:rPr>
        <w:t>. Mevcut</w:t>
      </w:r>
      <w:r w:rsidR="00CC1997" w:rsidRPr="00C47AC0">
        <w:rPr>
          <w:rFonts w:ascii="Palatino Linotype" w:hAnsi="Palatino Linotype" w:cs="Times New Roman"/>
          <w:color w:val="010000"/>
          <w:shd w:val="clear" w:color="auto" w:fill="FFFFFF"/>
        </w:rPr>
        <w:t xml:space="preserve"> dosyada </w:t>
      </w:r>
      <w:r w:rsidR="004F0048" w:rsidRPr="00C47AC0">
        <w:rPr>
          <w:rFonts w:ascii="Palatino Linotype" w:hAnsi="Palatino Linotype" w:cs="Times New Roman"/>
          <w:color w:val="010000"/>
          <w:shd w:val="clear" w:color="auto" w:fill="FFFFFF"/>
        </w:rPr>
        <w:t xml:space="preserve">suçun maddi unsuru olan hiyerarşik yapıya dahil olma ortaya konulmadığı gibi </w:t>
      </w:r>
      <w:r w:rsidR="009C6702" w:rsidRPr="006C1FA0">
        <w:rPr>
          <w:rFonts w:ascii="Palatino Linotype" w:hAnsi="Palatino Linotype" w:cs="Times New Roman"/>
          <w:color w:val="010000"/>
          <w:highlight w:val="yellow"/>
          <w:shd w:val="clear" w:color="auto" w:fill="FFFFFF"/>
        </w:rPr>
        <w:t>benim</w:t>
      </w:r>
      <w:r w:rsidR="006C1FA0" w:rsidRPr="006C1FA0">
        <w:rPr>
          <w:rFonts w:ascii="Palatino Linotype" w:hAnsi="Palatino Linotype" w:cs="Times New Roman"/>
          <w:color w:val="010000"/>
          <w:highlight w:val="yellow"/>
          <w:shd w:val="clear" w:color="auto" w:fill="FFFFFF"/>
        </w:rPr>
        <w:t>/eşimin</w:t>
      </w:r>
      <w:r w:rsidR="00B84193" w:rsidRPr="00B84193">
        <w:rPr>
          <w:rFonts w:ascii="Palatino Linotype" w:hAnsi="Palatino Linotype" w:cs="Times New Roman"/>
          <w:color w:val="010000"/>
          <w:highlight w:val="yellow"/>
          <w:shd w:val="clear" w:color="auto" w:fill="FFFFFF"/>
        </w:rPr>
        <w:t>/vasisi olduğum …’ın</w:t>
      </w:r>
      <w:r w:rsidR="004F0048" w:rsidRPr="00C47AC0">
        <w:rPr>
          <w:rFonts w:ascii="Palatino Linotype" w:hAnsi="Palatino Linotype" w:cs="Times New Roman"/>
          <w:color w:val="010000"/>
          <w:shd w:val="clear" w:color="auto" w:fill="FFFFFF"/>
        </w:rPr>
        <w:t xml:space="preserve"> manevi unsur </w:t>
      </w:r>
      <w:r w:rsidR="003B099C" w:rsidRPr="00C47AC0">
        <w:rPr>
          <w:rFonts w:ascii="Palatino Linotype" w:hAnsi="Palatino Linotype" w:cs="Times New Roman"/>
          <w:color w:val="010000"/>
          <w:shd w:val="clear" w:color="auto" w:fill="FFFFFF"/>
        </w:rPr>
        <w:t xml:space="preserve">ve nihai amaç </w:t>
      </w:r>
      <w:r w:rsidR="004F0048" w:rsidRPr="00C47AC0">
        <w:rPr>
          <w:rFonts w:ascii="Palatino Linotype" w:hAnsi="Palatino Linotype" w:cs="Times New Roman"/>
          <w:color w:val="010000"/>
          <w:shd w:val="clear" w:color="auto" w:fill="FFFFFF"/>
        </w:rPr>
        <w:t xml:space="preserve">kabul edilen anayasal düzeni cebir ve şiddetle ortadan kaldırma (darbe teşebbüsü) hususunu </w:t>
      </w:r>
      <w:r w:rsidR="004F0048" w:rsidRPr="00685A23">
        <w:rPr>
          <w:rFonts w:ascii="Palatino Linotype" w:hAnsi="Palatino Linotype" w:cs="Times New Roman"/>
          <w:color w:val="010000"/>
          <w:highlight w:val="yellow"/>
          <w:shd w:val="clear" w:color="auto" w:fill="FFFFFF"/>
        </w:rPr>
        <w:t>bildiği</w:t>
      </w:r>
      <w:r w:rsidR="009C6702" w:rsidRPr="00685A23">
        <w:rPr>
          <w:rFonts w:ascii="Palatino Linotype" w:hAnsi="Palatino Linotype" w:cs="Times New Roman"/>
          <w:color w:val="010000"/>
          <w:highlight w:val="yellow"/>
          <w:shd w:val="clear" w:color="auto" w:fill="FFFFFF"/>
        </w:rPr>
        <w:t>m</w:t>
      </w:r>
      <w:r w:rsidR="00685A23" w:rsidRPr="00685A23">
        <w:rPr>
          <w:rFonts w:ascii="Palatino Linotype" w:hAnsi="Palatino Linotype" w:cs="Times New Roman"/>
          <w:color w:val="010000"/>
          <w:highlight w:val="yellow"/>
          <w:shd w:val="clear" w:color="auto" w:fill="FFFFFF"/>
        </w:rPr>
        <w:t>/bildiği</w:t>
      </w:r>
      <w:r w:rsidR="004F0048" w:rsidRPr="00C47AC0">
        <w:rPr>
          <w:rFonts w:ascii="Palatino Linotype" w:hAnsi="Palatino Linotype" w:cs="Times New Roman"/>
          <w:color w:val="010000"/>
          <w:shd w:val="clear" w:color="auto" w:fill="FFFFFF"/>
        </w:rPr>
        <w:t xml:space="preserve"> ve bunun gerçekleşmesini </w:t>
      </w:r>
      <w:r w:rsidR="004F0048" w:rsidRPr="00685A23">
        <w:rPr>
          <w:rFonts w:ascii="Palatino Linotype" w:hAnsi="Palatino Linotype" w:cs="Times New Roman"/>
          <w:color w:val="010000"/>
          <w:highlight w:val="yellow"/>
          <w:shd w:val="clear" w:color="auto" w:fill="FFFFFF"/>
        </w:rPr>
        <w:t>istediği</w:t>
      </w:r>
      <w:r w:rsidR="009C6702" w:rsidRPr="00685A23">
        <w:rPr>
          <w:rFonts w:ascii="Palatino Linotype" w:hAnsi="Palatino Linotype" w:cs="Times New Roman"/>
          <w:color w:val="010000"/>
          <w:highlight w:val="yellow"/>
          <w:shd w:val="clear" w:color="auto" w:fill="FFFFFF"/>
        </w:rPr>
        <w:t>m</w:t>
      </w:r>
      <w:r w:rsidR="00685A23" w:rsidRPr="00685A23">
        <w:rPr>
          <w:rFonts w:ascii="Palatino Linotype" w:hAnsi="Palatino Linotype" w:cs="Times New Roman"/>
          <w:color w:val="010000"/>
          <w:highlight w:val="yellow"/>
          <w:shd w:val="clear" w:color="auto" w:fill="FFFFFF"/>
        </w:rPr>
        <w:t>/istediği</w:t>
      </w:r>
      <w:r w:rsidR="004F0048" w:rsidRPr="00C47AC0">
        <w:rPr>
          <w:rFonts w:ascii="Palatino Linotype" w:hAnsi="Palatino Linotype" w:cs="Times New Roman"/>
          <w:color w:val="010000"/>
          <w:shd w:val="clear" w:color="auto" w:fill="FFFFFF"/>
        </w:rPr>
        <w:t xml:space="preserve"> </w:t>
      </w:r>
      <w:r w:rsidR="00221D24" w:rsidRPr="00B84193">
        <w:rPr>
          <w:rFonts w:ascii="Palatino Linotype" w:hAnsi="Palatino Linotype" w:cs="Times New Roman"/>
          <w:color w:val="010000"/>
          <w:shd w:val="clear" w:color="auto" w:fill="FFFFFF"/>
        </w:rPr>
        <w:t>soruşturma kapsamında/</w:t>
      </w:r>
      <w:r w:rsidR="004F0048" w:rsidRPr="00B84193">
        <w:rPr>
          <w:rFonts w:ascii="Palatino Linotype" w:hAnsi="Palatino Linotype" w:cs="Times New Roman"/>
          <w:color w:val="010000"/>
          <w:shd w:val="clear" w:color="auto" w:fill="FFFFFF"/>
        </w:rPr>
        <w:t>ne iddianame ne de yargılama da</w:t>
      </w:r>
      <w:r w:rsidR="004F0048" w:rsidRPr="00C47AC0">
        <w:rPr>
          <w:rFonts w:ascii="Palatino Linotype" w:hAnsi="Palatino Linotype" w:cs="Times New Roman"/>
          <w:color w:val="010000"/>
          <w:shd w:val="clear" w:color="auto" w:fill="FFFFFF"/>
        </w:rPr>
        <w:t xml:space="preserve"> ortaya konulamamış ve hatta bu konuda hiçbir araştırma yapılmamıştır. Suçun unsurlarının </w:t>
      </w:r>
      <w:r w:rsidR="009C6702" w:rsidRPr="00685A23">
        <w:rPr>
          <w:rFonts w:ascii="Palatino Linotype" w:hAnsi="Palatino Linotype" w:cs="Times New Roman"/>
          <w:color w:val="010000"/>
          <w:highlight w:val="yellow"/>
          <w:shd w:val="clear" w:color="auto" w:fill="FFFFFF"/>
        </w:rPr>
        <w:t xml:space="preserve">benim </w:t>
      </w:r>
      <w:r w:rsidR="004F0048" w:rsidRPr="00685A23">
        <w:rPr>
          <w:rFonts w:ascii="Palatino Linotype" w:hAnsi="Palatino Linotype" w:cs="Times New Roman"/>
          <w:color w:val="010000"/>
          <w:highlight w:val="yellow"/>
          <w:shd w:val="clear" w:color="auto" w:fill="FFFFFF"/>
        </w:rPr>
        <w:t>açı</w:t>
      </w:r>
      <w:r w:rsidR="009C6702" w:rsidRPr="00685A23">
        <w:rPr>
          <w:rFonts w:ascii="Palatino Linotype" w:hAnsi="Palatino Linotype" w:cs="Times New Roman"/>
          <w:color w:val="010000"/>
          <w:highlight w:val="yellow"/>
          <w:shd w:val="clear" w:color="auto" w:fill="FFFFFF"/>
        </w:rPr>
        <w:t>mdan</w:t>
      </w:r>
      <w:r w:rsidR="00685A23" w:rsidRPr="00685A23">
        <w:rPr>
          <w:rFonts w:ascii="Palatino Linotype" w:hAnsi="Palatino Linotype" w:cs="Times New Roman"/>
          <w:color w:val="010000"/>
          <w:highlight w:val="yellow"/>
          <w:shd w:val="clear" w:color="auto" w:fill="FFFFFF"/>
        </w:rPr>
        <w:t>/eşim açısından</w:t>
      </w:r>
      <w:r w:rsidR="00B84193" w:rsidRPr="00B84193">
        <w:rPr>
          <w:rFonts w:ascii="Palatino Linotype" w:hAnsi="Palatino Linotype" w:cs="Times New Roman"/>
          <w:color w:val="010000"/>
          <w:highlight w:val="yellow"/>
          <w:shd w:val="clear" w:color="auto" w:fill="FFFFFF"/>
        </w:rPr>
        <w:t>/vasisi olduğum …. açısından</w:t>
      </w:r>
      <w:r w:rsidR="004F0048" w:rsidRPr="00C47AC0">
        <w:rPr>
          <w:rFonts w:ascii="Palatino Linotype" w:hAnsi="Palatino Linotype" w:cs="Times New Roman"/>
          <w:color w:val="010000"/>
          <w:shd w:val="clear" w:color="auto" w:fill="FFFFFF"/>
        </w:rPr>
        <w:t xml:space="preserve"> gerçekleştiğini gösterir dosyada hiçbir delil yoktur. </w:t>
      </w:r>
      <w:r w:rsidR="009C6702" w:rsidRPr="00685A23">
        <w:rPr>
          <w:rFonts w:ascii="Palatino Linotype" w:hAnsi="Palatino Linotype" w:cs="Times New Roman"/>
          <w:color w:val="010000"/>
          <w:highlight w:val="yellow"/>
          <w:shd w:val="clear" w:color="auto" w:fill="FFFFFF"/>
        </w:rPr>
        <w:t>Şahsıma</w:t>
      </w:r>
      <w:r w:rsidR="00685A23" w:rsidRPr="00685A23">
        <w:rPr>
          <w:rFonts w:ascii="Palatino Linotype" w:hAnsi="Palatino Linotype" w:cs="Times New Roman"/>
          <w:color w:val="010000"/>
          <w:highlight w:val="yellow"/>
          <w:shd w:val="clear" w:color="auto" w:fill="FFFFFF"/>
        </w:rPr>
        <w:t>/</w:t>
      </w:r>
      <w:r w:rsidR="00685A23" w:rsidRPr="00B84193">
        <w:rPr>
          <w:rFonts w:ascii="Palatino Linotype" w:hAnsi="Palatino Linotype" w:cs="Times New Roman"/>
          <w:color w:val="010000"/>
          <w:highlight w:val="yellow"/>
          <w:shd w:val="clear" w:color="auto" w:fill="FFFFFF"/>
        </w:rPr>
        <w:t>eşime</w:t>
      </w:r>
      <w:r w:rsidR="00B84193" w:rsidRPr="00B84193">
        <w:rPr>
          <w:rFonts w:ascii="Palatino Linotype" w:hAnsi="Palatino Linotype" w:cs="Times New Roman"/>
          <w:color w:val="010000"/>
          <w:highlight w:val="yellow"/>
          <w:shd w:val="clear" w:color="auto" w:fill="FFFFFF"/>
        </w:rPr>
        <w:t>/vasisi olduğum….’a</w:t>
      </w:r>
      <w:r w:rsidR="004F0048" w:rsidRPr="00C47AC0">
        <w:rPr>
          <w:rFonts w:ascii="Palatino Linotype" w:hAnsi="Palatino Linotype" w:cs="Times New Roman"/>
          <w:color w:val="010000"/>
          <w:shd w:val="clear" w:color="auto" w:fill="FFFFFF"/>
        </w:rPr>
        <w:t xml:space="preserve"> isnat edilen hususlar yasal ve rutin faaliyetlerdir. </w:t>
      </w:r>
      <w:r w:rsidR="00533040" w:rsidRPr="00C47AC0">
        <w:rPr>
          <w:rFonts w:ascii="Palatino Linotype" w:hAnsi="Palatino Linotype" w:cs="Times New Roman"/>
          <w:color w:val="010000"/>
          <w:shd w:val="clear" w:color="auto" w:fill="FFFFFF"/>
        </w:rPr>
        <w:t>S</w:t>
      </w:r>
      <w:r w:rsidR="004F0048" w:rsidRPr="00C47AC0">
        <w:rPr>
          <w:rFonts w:ascii="Palatino Linotype" w:hAnsi="Palatino Linotype" w:cs="Times New Roman"/>
          <w:color w:val="010000"/>
          <w:shd w:val="clear" w:color="auto" w:fill="FFFFFF"/>
        </w:rPr>
        <w:t xml:space="preserve">uçun unsurlarının gerçekleştiği ortaya konulamıyorsa, bu </w:t>
      </w:r>
      <w:r w:rsidR="00533040" w:rsidRPr="00C47AC0">
        <w:rPr>
          <w:rFonts w:ascii="Palatino Linotype" w:hAnsi="Palatino Linotype" w:cs="Times New Roman"/>
          <w:color w:val="010000"/>
          <w:shd w:val="clear" w:color="auto" w:fill="FFFFFF"/>
        </w:rPr>
        <w:t xml:space="preserve">durum </w:t>
      </w:r>
      <w:r w:rsidR="004F0048" w:rsidRPr="00C47AC0">
        <w:rPr>
          <w:rFonts w:ascii="Palatino Linotype" w:hAnsi="Palatino Linotype" w:cs="Times New Roman"/>
          <w:color w:val="010000"/>
          <w:shd w:val="clear" w:color="auto" w:fill="FFFFFF"/>
        </w:rPr>
        <w:t>isnat edilen suçun işlenmediğini gösterir</w:t>
      </w:r>
      <w:r w:rsidR="00221D24" w:rsidRPr="00C47AC0">
        <w:rPr>
          <w:rFonts w:ascii="Palatino Linotype" w:hAnsi="Palatino Linotype" w:cs="Times New Roman"/>
          <w:color w:val="010000"/>
          <w:shd w:val="clear" w:color="auto" w:fill="FFFFFF"/>
        </w:rPr>
        <w:t>. Bu nedenlerle</w:t>
      </w:r>
      <w:r w:rsidR="00681B83" w:rsidRPr="00C47AC0">
        <w:rPr>
          <w:rFonts w:ascii="Palatino Linotype" w:hAnsi="Palatino Linotype" w:cs="Times New Roman"/>
          <w:color w:val="010000"/>
          <w:shd w:val="clear" w:color="auto" w:fill="FFFFFF"/>
        </w:rPr>
        <w:t>,</w:t>
      </w:r>
      <w:r w:rsidR="00221D24" w:rsidRPr="00C47AC0">
        <w:rPr>
          <w:rFonts w:ascii="Palatino Linotype" w:hAnsi="Palatino Linotype" w:cs="Times New Roman"/>
          <w:color w:val="010000"/>
          <w:shd w:val="clear" w:color="auto" w:fill="FFFFFF"/>
        </w:rPr>
        <w:t xml:space="preserve"> </w:t>
      </w:r>
      <w:r w:rsidR="00221D24" w:rsidRPr="00685A23">
        <w:rPr>
          <w:rFonts w:ascii="Palatino Linotype" w:hAnsi="Palatino Linotype" w:cs="Times New Roman"/>
          <w:color w:val="010000"/>
          <w:highlight w:val="yellow"/>
          <w:shd w:val="clear" w:color="auto" w:fill="FFFFFF"/>
        </w:rPr>
        <w:t>hakkı</w:t>
      </w:r>
      <w:r w:rsidR="009C6702" w:rsidRPr="00685A23">
        <w:rPr>
          <w:rFonts w:ascii="Palatino Linotype" w:hAnsi="Palatino Linotype" w:cs="Times New Roman"/>
          <w:color w:val="010000"/>
          <w:highlight w:val="yellow"/>
          <w:shd w:val="clear" w:color="auto" w:fill="FFFFFF"/>
        </w:rPr>
        <w:t>m</w:t>
      </w:r>
      <w:r w:rsidR="00221D24" w:rsidRPr="00685A23">
        <w:rPr>
          <w:rFonts w:ascii="Palatino Linotype" w:hAnsi="Palatino Linotype" w:cs="Times New Roman"/>
          <w:color w:val="010000"/>
          <w:highlight w:val="yellow"/>
          <w:shd w:val="clear" w:color="auto" w:fill="FFFFFF"/>
        </w:rPr>
        <w:t>da</w:t>
      </w:r>
      <w:r w:rsidR="00685A23" w:rsidRPr="00685A23">
        <w:rPr>
          <w:rFonts w:ascii="Palatino Linotype" w:hAnsi="Palatino Linotype" w:cs="Times New Roman"/>
          <w:color w:val="010000"/>
          <w:highlight w:val="yellow"/>
          <w:shd w:val="clear" w:color="auto" w:fill="FFFFFF"/>
        </w:rPr>
        <w:t>/eşim hakkında</w:t>
      </w:r>
      <w:r w:rsidR="00B84193">
        <w:rPr>
          <w:rFonts w:ascii="Palatino Linotype" w:hAnsi="Palatino Linotype" w:cs="Times New Roman"/>
          <w:color w:val="010000"/>
          <w:highlight w:val="yellow"/>
          <w:shd w:val="clear" w:color="auto" w:fill="FFFFFF"/>
        </w:rPr>
        <w:t>/vasisi olduğum …. hakkında</w:t>
      </w:r>
      <w:r w:rsidR="00B84193" w:rsidRPr="00B84193">
        <w:rPr>
          <w:rFonts w:ascii="Palatino Linotype" w:hAnsi="Palatino Linotype" w:cs="Times New Roman"/>
          <w:color w:val="010000"/>
          <w:shd w:val="clear" w:color="auto" w:fill="FFFFFF"/>
        </w:rPr>
        <w:t xml:space="preserve"> </w:t>
      </w:r>
      <w:r w:rsidR="003B099C" w:rsidRPr="00B84193">
        <w:rPr>
          <w:rFonts w:ascii="Palatino Linotype" w:hAnsi="Palatino Linotype" w:cs="Times New Roman"/>
          <w:color w:val="010000"/>
          <w:shd w:val="clear" w:color="auto" w:fill="FFFFFF"/>
        </w:rPr>
        <w:t xml:space="preserve"> </w:t>
      </w:r>
      <w:r w:rsidR="003B099C" w:rsidRPr="00C47AC0">
        <w:rPr>
          <w:rFonts w:ascii="Palatino Linotype" w:hAnsi="Palatino Linotype" w:cs="Times New Roman"/>
          <w:color w:val="010000"/>
          <w:highlight w:val="yellow"/>
          <w:shd w:val="clear" w:color="auto" w:fill="FFFFFF"/>
        </w:rPr>
        <w:t xml:space="preserve">CMK’nın 223/2-b maddesindeki; </w:t>
      </w:r>
      <w:r w:rsidR="003B099C" w:rsidRPr="00C47AC0">
        <w:rPr>
          <w:rFonts w:ascii="Palatino Linotype" w:hAnsi="Palatino Linotype" w:cs="Times New Roman"/>
          <w:i/>
          <w:iCs/>
          <w:color w:val="010000"/>
          <w:highlight w:val="yellow"/>
          <w:shd w:val="clear" w:color="auto" w:fill="FFFFFF"/>
        </w:rPr>
        <w:t>“</w:t>
      </w:r>
      <w:r w:rsidR="003B099C" w:rsidRPr="00C47AC0">
        <w:rPr>
          <w:rFonts w:ascii="Palatino Linotype" w:hAnsi="Palatino Linotype"/>
          <w:i/>
          <w:iCs/>
          <w:highlight w:val="yellow"/>
        </w:rPr>
        <w:t>yüklenen suçun sanık tarafından işlenmediğinin sabit olması”</w:t>
      </w:r>
      <w:r w:rsidR="003B099C" w:rsidRPr="00C47AC0">
        <w:rPr>
          <w:rFonts w:ascii="Palatino Linotype" w:hAnsi="Palatino Linotype"/>
          <w:highlight w:val="yellow"/>
        </w:rPr>
        <w:t xml:space="preserve"> hüküm gereğince beraat hük</w:t>
      </w:r>
      <w:r w:rsidR="00533040" w:rsidRPr="00C47AC0">
        <w:rPr>
          <w:rFonts w:ascii="Palatino Linotype" w:hAnsi="Palatino Linotype"/>
          <w:highlight w:val="yellow"/>
        </w:rPr>
        <w:t>mü</w:t>
      </w:r>
      <w:r w:rsidR="003B099C" w:rsidRPr="00C47AC0">
        <w:rPr>
          <w:rFonts w:ascii="Palatino Linotype" w:hAnsi="Palatino Linotype"/>
          <w:highlight w:val="yellow"/>
        </w:rPr>
        <w:t xml:space="preserve"> kurulması</w:t>
      </w:r>
      <w:r w:rsidR="00533040" w:rsidRPr="00C47AC0">
        <w:rPr>
          <w:rFonts w:ascii="Palatino Linotype" w:hAnsi="Palatino Linotype"/>
          <w:highlight w:val="yellow"/>
        </w:rPr>
        <w:t>/</w:t>
      </w:r>
      <w:r w:rsidR="00924F0F" w:rsidRPr="00C47AC0">
        <w:rPr>
          <w:rFonts w:ascii="Palatino Linotype" w:hAnsi="Palatino Linotype"/>
          <w:highlight w:val="yellow"/>
        </w:rPr>
        <w:t>,</w:t>
      </w:r>
    </w:p>
    <w:p w14:paraId="410162B4" w14:textId="77777777" w:rsidR="00B84193" w:rsidRPr="00B84193" w:rsidRDefault="00B70657" w:rsidP="00B70657">
      <w:pPr>
        <w:pStyle w:val="ListeParagraf"/>
        <w:numPr>
          <w:ilvl w:val="0"/>
          <w:numId w:val="3"/>
        </w:numPr>
        <w:tabs>
          <w:tab w:val="left" w:pos="3870"/>
        </w:tabs>
        <w:spacing w:line="360" w:lineRule="auto"/>
        <w:ind w:left="990" w:right="-378"/>
        <w:jc w:val="both"/>
        <w:rPr>
          <w:rFonts w:ascii="Palatino Linotype" w:hAnsi="Palatino Linotype" w:cs="Times New Roman"/>
          <w:b/>
          <w:color w:val="010000"/>
          <w:u w:val="thick"/>
          <w:shd w:val="clear" w:color="auto" w:fill="FFFFFF"/>
        </w:rPr>
      </w:pPr>
      <w:r w:rsidRPr="00CC545A">
        <w:rPr>
          <w:rFonts w:ascii="Palatino Linotype" w:hAnsi="Palatino Linotype"/>
        </w:rPr>
        <w:t xml:space="preserve">AİHM Yalçınkaya kararında; AİHS’in, 7. ve 6. maddelerinin ihlalinin tespitine yol açan durumun, münferit bir olaydan kaynaklanmadığını veya olayların belirli bir şekilde gelişmesine atfedilemeyeceğini ve sistemik bir sorundan kaynaklandığının kabul edilebileceğini belirtmiştir. Mahkeme, sorunun binlerce kişiyi etkilediğini ve etkilemeye devam ettiğini vurgulamıştır. Kararının 413 ila 418. </w:t>
      </w:r>
      <w:r>
        <w:rPr>
          <w:rFonts w:ascii="Palatino Linotype" w:hAnsi="Palatino Linotype"/>
        </w:rPr>
        <w:t>p</w:t>
      </w:r>
      <w:r w:rsidRPr="00CC545A">
        <w:rPr>
          <w:rFonts w:ascii="Palatino Linotype" w:hAnsi="Palatino Linotype"/>
        </w:rPr>
        <w:t xml:space="preserve">aragrafları arasında ortaya konulan tespit ve uyarılar, AİHS’in 46. ve Anayasa'nın 90/5. maddeleri gereğince iç hukukta bağlayıcı etkiye sahiptir. Yalçınkaya kararı davanın esasına ilişkin olup benzer davaları da esas yönüyle etkileyecektir ve AİHM'nin beklentisi de bu yöndedir. </w:t>
      </w:r>
      <w:r w:rsidRPr="00B70657">
        <w:rPr>
          <w:rFonts w:ascii="Palatino Linotype" w:hAnsi="Palatino Linotype"/>
          <w:b/>
          <w:bCs/>
          <w:u w:val="single"/>
        </w:rPr>
        <w:t>Gerek yerel mahkemelerin, gerek kanun yolu mercilerinin ve gerekse de Anayasa Mahkemesi’nin AİHS’in 6/1, 7 ve 11. maddeleri kapsamında verilen ihlal kararına ve bu kararda belirlenen ilkelere göre yargılama yapmaları, AİHS’in 46 ve Anayasa’nın 90. maddeleri gereğince bir tercih değil yasal zorunluluktur.</w:t>
      </w:r>
      <w:r w:rsidRPr="00CC545A">
        <w:rPr>
          <w:rFonts w:ascii="Palatino Linotype" w:hAnsi="Palatino Linotype"/>
        </w:rPr>
        <w:t xml:space="preserve"> </w:t>
      </w:r>
      <w:r w:rsidR="00B84193">
        <w:rPr>
          <w:rFonts w:ascii="Palatino Linotype" w:hAnsi="Palatino Linotype"/>
        </w:rPr>
        <w:t>A</w:t>
      </w:r>
      <w:r w:rsidRPr="00CC545A">
        <w:rPr>
          <w:rFonts w:ascii="Palatino Linotype" w:hAnsi="Palatino Linotype"/>
        </w:rPr>
        <w:t>tılı suçun maddi ve manevi unsurlarının oluşmaması ve atılı bu suçu işlediği hususunda cezalandırılma</w:t>
      </w:r>
      <w:r w:rsidR="00B84193">
        <w:rPr>
          <w:rFonts w:ascii="Palatino Linotype" w:hAnsi="Palatino Linotype"/>
        </w:rPr>
        <w:t>ya</w:t>
      </w:r>
      <w:r w:rsidRPr="00CC545A">
        <w:rPr>
          <w:rFonts w:ascii="Palatino Linotype" w:hAnsi="Palatino Linotype"/>
        </w:rPr>
        <w:t xml:space="preserve"> yeter, her türlü şüpheden uzak, kesin ve inandırıcı delil bulunmamaktadır. Bu nedenlerle, </w:t>
      </w:r>
      <w:r w:rsidRPr="00B70657">
        <w:rPr>
          <w:rFonts w:ascii="Palatino Linotype" w:hAnsi="Palatino Linotype"/>
          <w:highlight w:val="yellow"/>
        </w:rPr>
        <w:t>durumum</w:t>
      </w:r>
      <w:r w:rsidRPr="00B70657">
        <w:rPr>
          <w:rFonts w:ascii="Palatino Linotype" w:hAnsi="Palatino Linotype" w:cs="Times New Roman"/>
          <w:color w:val="010000"/>
          <w:highlight w:val="yellow"/>
          <w:shd w:val="clear" w:color="auto" w:fill="FFFFFF"/>
        </w:rPr>
        <w:t xml:space="preserve">/eşimin </w:t>
      </w:r>
      <w:r w:rsidRPr="00B84193">
        <w:rPr>
          <w:rFonts w:ascii="Palatino Linotype" w:hAnsi="Palatino Linotype" w:cs="Times New Roman"/>
          <w:color w:val="010000"/>
          <w:highlight w:val="yellow"/>
          <w:shd w:val="clear" w:color="auto" w:fill="FFFFFF"/>
        </w:rPr>
        <w:t>durumu</w:t>
      </w:r>
      <w:r w:rsidR="00B84193" w:rsidRPr="00B84193">
        <w:rPr>
          <w:rFonts w:ascii="Palatino Linotype" w:hAnsi="Palatino Linotype" w:cs="Times New Roman"/>
          <w:color w:val="010000"/>
          <w:highlight w:val="yellow"/>
          <w:shd w:val="clear" w:color="auto" w:fill="FFFFFF"/>
        </w:rPr>
        <w:t xml:space="preserve">, vasisi olduğum ….’ın </w:t>
      </w:r>
      <w:r w:rsidR="00B84193" w:rsidRPr="00B84193">
        <w:rPr>
          <w:rFonts w:ascii="Palatino Linotype" w:hAnsi="Palatino Linotype" w:cs="Times New Roman"/>
          <w:color w:val="010000"/>
          <w:highlight w:val="yellow"/>
          <w:shd w:val="clear" w:color="auto" w:fill="FFFFFF"/>
        </w:rPr>
        <w:lastRenderedPageBreak/>
        <w:t>durumu</w:t>
      </w:r>
      <w:r w:rsidRPr="00CC545A">
        <w:rPr>
          <w:rFonts w:ascii="Palatino Linotype" w:hAnsi="Palatino Linotype" w:cs="Times New Roman"/>
          <w:color w:val="010000"/>
          <w:shd w:val="clear" w:color="auto" w:fill="FFFFFF"/>
        </w:rPr>
        <w:t xml:space="preserve"> </w:t>
      </w:r>
      <w:r w:rsidRPr="00CC545A">
        <w:rPr>
          <w:rFonts w:ascii="Palatino Linotype" w:hAnsi="Palatino Linotype"/>
        </w:rPr>
        <w:t xml:space="preserve">ekte sunduğumuz karar özetinden de anlaşılacağı üzere AİHM’in Yüksel Yalçınkaya kararına konu olay ile aynıdır. </w:t>
      </w:r>
      <w:r w:rsidRPr="00B70657">
        <w:rPr>
          <w:rFonts w:ascii="Palatino Linotype" w:hAnsi="Palatino Linotype"/>
          <w:highlight w:val="yellow"/>
        </w:rPr>
        <w:t xml:space="preserve">Hakkımdaki/eşim </w:t>
      </w:r>
      <w:r w:rsidRPr="00B84193">
        <w:rPr>
          <w:rFonts w:ascii="Palatino Linotype" w:hAnsi="Palatino Linotype"/>
          <w:highlight w:val="yellow"/>
        </w:rPr>
        <w:t>hakkındaki</w:t>
      </w:r>
      <w:r w:rsidR="00B84193" w:rsidRPr="00B84193">
        <w:rPr>
          <w:rFonts w:ascii="Palatino Linotype" w:hAnsi="Palatino Linotype"/>
          <w:highlight w:val="yellow"/>
        </w:rPr>
        <w:t>/vasisi olduğu …hakkındaki</w:t>
      </w:r>
      <w:r w:rsidRPr="00CC545A">
        <w:rPr>
          <w:rFonts w:ascii="Palatino Linotype" w:hAnsi="Palatino Linotype"/>
        </w:rPr>
        <w:t xml:space="preserve"> yargılama da aynı esaslara dayandığından, </w:t>
      </w:r>
      <w:r w:rsidRPr="00CC545A">
        <w:rPr>
          <w:rFonts w:ascii="Palatino Linotype" w:hAnsi="Palatino Linotype" w:cs="Times New Roman"/>
          <w:color w:val="010000"/>
          <w:shd w:val="clear" w:color="auto" w:fill="FFFFFF"/>
        </w:rPr>
        <w:t xml:space="preserve">talebimizin kabulüne ve </w:t>
      </w:r>
      <w:r w:rsidR="00B84193" w:rsidRPr="00B84193">
        <w:rPr>
          <w:rFonts w:ascii="Palatino Linotype" w:hAnsi="Palatino Linotype" w:cs="Times New Roman"/>
          <w:color w:val="010000"/>
          <w:shd w:val="clear" w:color="auto" w:fill="FFFFFF"/>
        </w:rPr>
        <w:t xml:space="preserve">Anayasa’nın 33, 34, 36, 38, 51, 90, 138. ve 153. maddeleri, AİHS’nin 6, 7, 11. ve 46. maddeleri ve 6216 sayılı Kanunun 50. maddesi ile 5271 sayılı CMK’nun 308. </w:t>
      </w:r>
      <w:proofErr w:type="spellStart"/>
      <w:r w:rsidR="00B84193" w:rsidRPr="00B84193">
        <w:rPr>
          <w:rFonts w:ascii="Palatino Linotype" w:hAnsi="Palatino Linotype" w:cs="Times New Roman"/>
          <w:color w:val="010000"/>
          <w:shd w:val="clear" w:color="auto" w:fill="FFFFFF"/>
        </w:rPr>
        <w:t>vd</w:t>
      </w:r>
      <w:proofErr w:type="spellEnd"/>
      <w:r w:rsidR="00B84193" w:rsidRPr="00B84193">
        <w:rPr>
          <w:rFonts w:ascii="Palatino Linotype" w:hAnsi="Palatino Linotype" w:cs="Times New Roman"/>
          <w:color w:val="010000"/>
          <w:shd w:val="clear" w:color="auto" w:fill="FFFFFF"/>
        </w:rPr>
        <w:t xml:space="preserve"> maddeleri uyarınca iş bu </w:t>
      </w:r>
      <w:r w:rsidR="00B84193">
        <w:rPr>
          <w:rFonts w:ascii="Palatino Linotype" w:hAnsi="Palatino Linotype" w:cs="Times New Roman"/>
          <w:color w:val="010000"/>
          <w:shd w:val="clear" w:color="auto" w:fill="FFFFFF"/>
        </w:rPr>
        <w:t>k</w:t>
      </w:r>
      <w:r w:rsidR="00B84193" w:rsidRPr="00B84193">
        <w:rPr>
          <w:rFonts w:ascii="Palatino Linotype" w:hAnsi="Palatino Linotype" w:cs="Times New Roman"/>
          <w:color w:val="010000"/>
          <w:shd w:val="clear" w:color="auto" w:fill="FFFFFF"/>
        </w:rPr>
        <w:t xml:space="preserve">arar </w:t>
      </w:r>
      <w:r w:rsidR="00B84193">
        <w:rPr>
          <w:rFonts w:ascii="Palatino Linotype" w:hAnsi="Palatino Linotype" w:cs="Times New Roman"/>
          <w:color w:val="010000"/>
          <w:shd w:val="clear" w:color="auto" w:fill="FFFFFF"/>
        </w:rPr>
        <w:t>d</w:t>
      </w:r>
      <w:r w:rsidR="00B84193" w:rsidRPr="00B84193">
        <w:rPr>
          <w:rFonts w:ascii="Palatino Linotype" w:hAnsi="Palatino Linotype" w:cs="Times New Roman"/>
          <w:color w:val="010000"/>
          <w:shd w:val="clear" w:color="auto" w:fill="FFFFFF"/>
        </w:rPr>
        <w:t xml:space="preserve">üzeltme </w:t>
      </w:r>
      <w:r w:rsidR="00B84193">
        <w:rPr>
          <w:rFonts w:ascii="Palatino Linotype" w:hAnsi="Palatino Linotype" w:cs="Times New Roman"/>
          <w:color w:val="010000"/>
          <w:shd w:val="clear" w:color="auto" w:fill="FFFFFF"/>
        </w:rPr>
        <w:t>d</w:t>
      </w:r>
      <w:r w:rsidR="00B84193" w:rsidRPr="00B84193">
        <w:rPr>
          <w:rFonts w:ascii="Palatino Linotype" w:hAnsi="Palatino Linotype" w:cs="Times New Roman"/>
          <w:color w:val="010000"/>
          <w:shd w:val="clear" w:color="auto" w:fill="FFFFFF"/>
        </w:rPr>
        <w:t>ilekçesi ile daha önceki savunmalarda belirt</w:t>
      </w:r>
      <w:r w:rsidR="00B84193">
        <w:rPr>
          <w:rFonts w:ascii="Palatino Linotype" w:hAnsi="Palatino Linotype" w:cs="Times New Roman"/>
          <w:color w:val="010000"/>
          <w:shd w:val="clear" w:color="auto" w:fill="FFFFFF"/>
        </w:rPr>
        <w:t xml:space="preserve">ilen </w:t>
      </w:r>
      <w:r w:rsidR="00B84193" w:rsidRPr="00B84193">
        <w:rPr>
          <w:rFonts w:ascii="Palatino Linotype" w:hAnsi="Palatino Linotype" w:cs="Times New Roman"/>
          <w:color w:val="010000"/>
          <w:shd w:val="clear" w:color="auto" w:fill="FFFFFF"/>
        </w:rPr>
        <w:t xml:space="preserve">hususlar ve davanın esas ve usulüne yönelik re’sen tespit edilecek eksiklikler de dikkate alınarak </w:t>
      </w:r>
      <w:r w:rsidR="00B84193" w:rsidRPr="00B84193">
        <w:rPr>
          <w:rFonts w:ascii="Palatino Linotype" w:hAnsi="Palatino Linotype" w:cs="Times New Roman"/>
          <w:color w:val="010000"/>
          <w:highlight w:val="yellow"/>
          <w:shd w:val="clear" w:color="auto" w:fill="FFFFFF"/>
        </w:rPr>
        <w:t>hakkımda/eşim hakkında/vasisi olduğum … hakkında</w:t>
      </w:r>
      <w:r w:rsidR="00B84193" w:rsidRPr="00B84193">
        <w:rPr>
          <w:rFonts w:ascii="Palatino Linotype" w:hAnsi="Palatino Linotype" w:cs="Times New Roman"/>
          <w:color w:val="010000"/>
          <w:shd w:val="clear" w:color="auto" w:fill="FFFFFF"/>
        </w:rPr>
        <w:t xml:space="preserve"> verilen ONAMA kararının kaldırılarak yerel mahkeme kararının BOZULMASINA karar verilmesi için Dosyanın Yargıtay 3. Ceza Dairesi'ne gönderilmesi, </w:t>
      </w:r>
    </w:p>
    <w:p w14:paraId="065378D6" w14:textId="77777777" w:rsidR="00B84193" w:rsidRPr="00B84193" w:rsidRDefault="00B84193" w:rsidP="00B70657">
      <w:pPr>
        <w:pStyle w:val="ListeParagraf"/>
        <w:numPr>
          <w:ilvl w:val="0"/>
          <w:numId w:val="3"/>
        </w:numPr>
        <w:tabs>
          <w:tab w:val="left" w:pos="3870"/>
        </w:tabs>
        <w:spacing w:line="360" w:lineRule="auto"/>
        <w:ind w:left="990" w:right="-378"/>
        <w:jc w:val="both"/>
        <w:rPr>
          <w:rFonts w:ascii="Palatino Linotype" w:hAnsi="Palatino Linotype" w:cs="Times New Roman"/>
          <w:b/>
          <w:color w:val="010000"/>
          <w:u w:val="thick"/>
          <w:shd w:val="clear" w:color="auto" w:fill="FFFFFF"/>
        </w:rPr>
      </w:pPr>
      <w:r w:rsidRPr="00B84193">
        <w:rPr>
          <w:rFonts w:ascii="Palatino Linotype" w:hAnsi="Palatino Linotype" w:cs="Times New Roman"/>
          <w:color w:val="010000"/>
          <w:shd w:val="clear" w:color="auto" w:fill="FFFFFF"/>
        </w:rPr>
        <w:t xml:space="preserve">AİHM’nin Yalçınkaya-Türkiye kararında ortaya koyduğu tespit ve değerlendirmeler ile tüm savunmalar kapsamında </w:t>
      </w:r>
      <w:r w:rsidRPr="00B84193">
        <w:rPr>
          <w:rFonts w:ascii="Palatino Linotype" w:hAnsi="Palatino Linotype" w:cs="Times New Roman"/>
          <w:color w:val="010000"/>
          <w:highlight w:val="yellow"/>
          <w:shd w:val="clear" w:color="auto" w:fill="FFFFFF"/>
        </w:rPr>
        <w:t>üzerime/eşimin üzerine/vasisi olduğum … üzerine</w:t>
      </w:r>
      <w:r w:rsidRPr="00B84193">
        <w:rPr>
          <w:rFonts w:ascii="Palatino Linotype" w:hAnsi="Palatino Linotype" w:cs="Times New Roman"/>
          <w:color w:val="010000"/>
          <w:shd w:val="clear" w:color="auto" w:fill="FFFFFF"/>
        </w:rPr>
        <w:t xml:space="preserve"> atılı suçu işlemediğinin sabit olması nedeniyle 5271 sayılı CMK’n</w:t>
      </w:r>
      <w:r>
        <w:rPr>
          <w:rFonts w:ascii="Palatino Linotype" w:hAnsi="Palatino Linotype" w:cs="Times New Roman"/>
          <w:color w:val="010000"/>
          <w:shd w:val="clear" w:color="auto" w:fill="FFFFFF"/>
        </w:rPr>
        <w:t>ı</w:t>
      </w:r>
      <w:r w:rsidRPr="00B84193">
        <w:rPr>
          <w:rFonts w:ascii="Palatino Linotype" w:hAnsi="Palatino Linotype" w:cs="Times New Roman"/>
          <w:color w:val="010000"/>
          <w:shd w:val="clear" w:color="auto" w:fill="FFFFFF"/>
        </w:rPr>
        <w:t xml:space="preserve">n 223/2-b maddesi uyarınca </w:t>
      </w:r>
      <w:r w:rsidRPr="00B84193">
        <w:rPr>
          <w:rFonts w:ascii="Palatino Linotype" w:hAnsi="Palatino Linotype" w:cs="Times New Roman"/>
          <w:color w:val="010000"/>
          <w:highlight w:val="yellow"/>
          <w:shd w:val="clear" w:color="auto" w:fill="FFFFFF"/>
        </w:rPr>
        <w:t>hakkımda/hakkında</w:t>
      </w:r>
      <w:r w:rsidRPr="00B84193">
        <w:rPr>
          <w:rFonts w:ascii="Palatino Linotype" w:hAnsi="Palatino Linotype" w:cs="Times New Roman"/>
          <w:color w:val="010000"/>
          <w:shd w:val="clear" w:color="auto" w:fill="FFFFFF"/>
        </w:rPr>
        <w:t xml:space="preserve"> BERAAT kararı verilmesi gerektiği hususunun da ayrıca belirtilmesi, </w:t>
      </w:r>
    </w:p>
    <w:p w14:paraId="75360FCE" w14:textId="229B0325" w:rsidR="006112FE" w:rsidRPr="00C47AC0" w:rsidRDefault="009C6702" w:rsidP="006112FE">
      <w:pPr>
        <w:pStyle w:val="ListeParagraf"/>
        <w:numPr>
          <w:ilvl w:val="0"/>
          <w:numId w:val="3"/>
        </w:numPr>
        <w:tabs>
          <w:tab w:val="left" w:pos="3870"/>
        </w:tabs>
        <w:spacing w:line="360" w:lineRule="auto"/>
        <w:ind w:left="990" w:right="-378"/>
        <w:jc w:val="both"/>
        <w:rPr>
          <w:rFonts w:ascii="Palatino Linotype" w:hAnsi="Palatino Linotype" w:cs="Times New Roman"/>
          <w:b/>
          <w:color w:val="010000"/>
          <w:u w:val="thick"/>
          <w:shd w:val="clear" w:color="auto" w:fill="FFFFFF"/>
        </w:rPr>
      </w:pPr>
      <w:r>
        <w:rPr>
          <w:rFonts w:ascii="Palatino Linotype" w:hAnsi="Palatino Linotype" w:cs="Times New Roman"/>
          <w:color w:val="010000"/>
          <w:highlight w:val="yellow"/>
          <w:shd w:val="clear" w:color="auto" w:fill="FFFFFF"/>
        </w:rPr>
        <w:t>H</w:t>
      </w:r>
      <w:r w:rsidR="00B64CC8" w:rsidRPr="00C47AC0">
        <w:rPr>
          <w:rFonts w:ascii="Palatino Linotype" w:hAnsi="Palatino Linotype" w:cs="Times New Roman"/>
          <w:color w:val="010000"/>
          <w:highlight w:val="yellow"/>
          <w:shd w:val="clear" w:color="auto" w:fill="FFFFFF"/>
        </w:rPr>
        <w:t>akkı</w:t>
      </w:r>
      <w:r>
        <w:rPr>
          <w:rFonts w:ascii="Palatino Linotype" w:hAnsi="Palatino Linotype" w:cs="Times New Roman"/>
          <w:color w:val="010000"/>
          <w:highlight w:val="yellow"/>
          <w:shd w:val="clear" w:color="auto" w:fill="FFFFFF"/>
        </w:rPr>
        <w:t>m</w:t>
      </w:r>
      <w:r w:rsidR="00B64CC8" w:rsidRPr="00C47AC0">
        <w:rPr>
          <w:rFonts w:ascii="Palatino Linotype" w:hAnsi="Palatino Linotype" w:cs="Times New Roman"/>
          <w:color w:val="010000"/>
          <w:highlight w:val="yellow"/>
          <w:shd w:val="clear" w:color="auto" w:fill="FFFFFF"/>
        </w:rPr>
        <w:t>da</w:t>
      </w:r>
      <w:r w:rsidR="00685A23">
        <w:rPr>
          <w:rFonts w:ascii="Palatino Linotype" w:hAnsi="Palatino Linotype" w:cs="Times New Roman"/>
          <w:color w:val="010000"/>
          <w:highlight w:val="yellow"/>
          <w:shd w:val="clear" w:color="auto" w:fill="FFFFFF"/>
        </w:rPr>
        <w:t>/</w:t>
      </w:r>
      <w:r w:rsidR="00B70657">
        <w:rPr>
          <w:rFonts w:ascii="Palatino Linotype" w:hAnsi="Palatino Linotype" w:cs="Times New Roman"/>
          <w:color w:val="010000"/>
          <w:highlight w:val="yellow"/>
          <w:shd w:val="clear" w:color="auto" w:fill="FFFFFF"/>
        </w:rPr>
        <w:t xml:space="preserve">eşim </w:t>
      </w:r>
      <w:r w:rsidR="00685A23">
        <w:rPr>
          <w:rFonts w:ascii="Palatino Linotype" w:hAnsi="Palatino Linotype" w:cs="Times New Roman"/>
          <w:color w:val="010000"/>
          <w:highlight w:val="yellow"/>
          <w:shd w:val="clear" w:color="auto" w:fill="FFFFFF"/>
        </w:rPr>
        <w:t>hakkında</w:t>
      </w:r>
      <w:r w:rsidR="00B84193">
        <w:rPr>
          <w:rFonts w:ascii="Palatino Linotype" w:hAnsi="Palatino Linotype" w:cs="Times New Roman"/>
          <w:color w:val="010000"/>
          <w:highlight w:val="yellow"/>
          <w:shd w:val="clear" w:color="auto" w:fill="FFFFFF"/>
        </w:rPr>
        <w:t>/vasisi olduğum … hakkında</w:t>
      </w:r>
      <w:r w:rsidR="00B64CC8" w:rsidRPr="00C47AC0">
        <w:rPr>
          <w:rFonts w:ascii="Palatino Linotype" w:hAnsi="Palatino Linotype" w:cs="Times New Roman"/>
          <w:color w:val="010000"/>
          <w:highlight w:val="yellow"/>
          <w:shd w:val="clear" w:color="auto" w:fill="FFFFFF"/>
        </w:rPr>
        <w:t xml:space="preserve"> infazın</w:t>
      </w:r>
      <w:r w:rsidR="00B64CC8" w:rsidRPr="00C47AC0">
        <w:rPr>
          <w:rFonts w:ascii="Palatino Linotype" w:hAnsi="Palatino Linotype" w:cs="Times New Roman"/>
          <w:color w:val="010000"/>
          <w:shd w:val="clear" w:color="auto" w:fill="FFFFFF"/>
        </w:rPr>
        <w:t xml:space="preserve"> </w:t>
      </w:r>
      <w:r w:rsidR="00B64CC8" w:rsidRPr="00C47AC0">
        <w:rPr>
          <w:rFonts w:ascii="Palatino Linotype" w:hAnsi="Palatino Linotype" w:cs="Times New Roman"/>
          <w:color w:val="010000"/>
          <w:highlight w:val="yellow"/>
          <w:shd w:val="clear" w:color="auto" w:fill="FFFFFF"/>
        </w:rPr>
        <w:t>durdurulması</w:t>
      </w:r>
      <w:r w:rsidR="00B84193">
        <w:rPr>
          <w:rFonts w:ascii="Palatino Linotype" w:hAnsi="Palatino Linotype" w:cs="Times New Roman"/>
          <w:color w:val="010000"/>
          <w:highlight w:val="yellow"/>
          <w:shd w:val="clear" w:color="auto" w:fill="FFFFFF"/>
        </w:rPr>
        <w:t>na</w:t>
      </w:r>
      <w:r w:rsidR="00B64CC8" w:rsidRPr="00C47AC0">
        <w:rPr>
          <w:rFonts w:ascii="Palatino Linotype" w:hAnsi="Palatino Linotype" w:cs="Times New Roman"/>
          <w:color w:val="010000"/>
          <w:highlight w:val="yellow"/>
          <w:shd w:val="clear" w:color="auto" w:fill="FFFFFF"/>
        </w:rPr>
        <w:t xml:space="preserve"> ve </w:t>
      </w:r>
      <w:r w:rsidR="00B64CC8" w:rsidRPr="00685A23">
        <w:rPr>
          <w:rFonts w:ascii="Palatino Linotype" w:hAnsi="Palatino Linotype" w:cs="Times New Roman"/>
          <w:color w:val="010000"/>
          <w:highlight w:val="yellow"/>
          <w:shd w:val="clear" w:color="auto" w:fill="FFFFFF"/>
        </w:rPr>
        <w:t>salıverilme</w:t>
      </w:r>
      <w:r w:rsidRPr="00685A23">
        <w:rPr>
          <w:rFonts w:ascii="Palatino Linotype" w:hAnsi="Palatino Linotype" w:cs="Times New Roman"/>
          <w:color w:val="010000"/>
          <w:highlight w:val="yellow"/>
          <w:shd w:val="clear" w:color="auto" w:fill="FFFFFF"/>
        </w:rPr>
        <w:t>m</w:t>
      </w:r>
      <w:r w:rsidR="00B84193">
        <w:rPr>
          <w:rFonts w:ascii="Palatino Linotype" w:hAnsi="Palatino Linotype" w:cs="Times New Roman"/>
          <w:color w:val="010000"/>
          <w:highlight w:val="yellow"/>
          <w:shd w:val="clear" w:color="auto" w:fill="FFFFFF"/>
        </w:rPr>
        <w:t>e</w:t>
      </w:r>
      <w:r w:rsidR="00685A23" w:rsidRPr="00685A23">
        <w:rPr>
          <w:rFonts w:ascii="Palatino Linotype" w:hAnsi="Palatino Linotype" w:cs="Times New Roman"/>
          <w:color w:val="010000"/>
          <w:highlight w:val="yellow"/>
          <w:shd w:val="clear" w:color="auto" w:fill="FFFFFF"/>
        </w:rPr>
        <w:t>/salıverilmesi</w:t>
      </w:r>
      <w:r w:rsidR="00B84193">
        <w:rPr>
          <w:rFonts w:ascii="Palatino Linotype" w:hAnsi="Palatino Linotype" w:cs="Times New Roman"/>
          <w:color w:val="010000"/>
          <w:highlight w:val="yellow"/>
          <w:shd w:val="clear" w:color="auto" w:fill="FFFFFF"/>
        </w:rPr>
        <w:t>ne</w:t>
      </w:r>
      <w:r w:rsidR="00B64CC8" w:rsidRPr="00685A23">
        <w:rPr>
          <w:rFonts w:ascii="Palatino Linotype" w:hAnsi="Palatino Linotype" w:cs="Times New Roman"/>
          <w:color w:val="010000"/>
          <w:highlight w:val="yellow"/>
          <w:shd w:val="clear" w:color="auto" w:fill="FFFFFF"/>
        </w:rPr>
        <w:t>,</w:t>
      </w:r>
      <w:r w:rsidR="00B64CC8" w:rsidRPr="00C47AC0">
        <w:rPr>
          <w:rFonts w:ascii="Palatino Linotype" w:hAnsi="Palatino Linotype" w:cs="Times New Roman"/>
          <w:color w:val="010000"/>
          <w:shd w:val="clear" w:color="auto" w:fill="FFFFFF"/>
        </w:rPr>
        <w:t xml:space="preserve"> </w:t>
      </w:r>
    </w:p>
    <w:p w14:paraId="5DA01CCA" w14:textId="2A0AE082" w:rsidR="006112FE" w:rsidRPr="00B84193" w:rsidRDefault="006112FE" w:rsidP="00B84193">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r w:rsidRPr="00C47AC0">
        <w:rPr>
          <w:rFonts w:ascii="Palatino Linotype" w:hAnsi="Palatino Linotype" w:cs="Times New Roman"/>
          <w:color w:val="010000"/>
          <w:shd w:val="clear" w:color="auto" w:fill="FFFFFF"/>
        </w:rPr>
        <w:t>Saygılarımla arz ve talep olunur.</w:t>
      </w:r>
      <w:r w:rsidR="00AE4031" w:rsidRPr="00C47AC0">
        <w:rPr>
          <w:rFonts w:ascii="Palatino Linotype" w:hAnsi="Palatino Linotype" w:cs="Times New Roman"/>
          <w:color w:val="010000"/>
          <w:shd w:val="clear" w:color="auto" w:fill="FFFFFF"/>
        </w:rPr>
        <w:t xml:space="preserve">  </w:t>
      </w:r>
      <w:r w:rsidRPr="00C47AC0">
        <w:rPr>
          <w:rFonts w:ascii="Palatino Linotype" w:hAnsi="Palatino Linotype" w:cs="Times New Roman"/>
          <w:color w:val="010000"/>
          <w:shd w:val="clear" w:color="auto" w:fill="FFFFFF"/>
        </w:rPr>
        <w:t>…../…./2023</w:t>
      </w:r>
    </w:p>
    <w:p w14:paraId="11F41DA9" w14:textId="77777777" w:rsidR="006112FE" w:rsidRPr="00C47AC0" w:rsidRDefault="006112FE" w:rsidP="006112FE">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p>
    <w:p w14:paraId="6C0E832A" w14:textId="6787CAAC" w:rsidR="00B84193" w:rsidRPr="00B84193" w:rsidRDefault="006112FE" w:rsidP="00B84193">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00446E20" w:rsidRPr="00C47AC0">
        <w:rPr>
          <w:rFonts w:ascii="Palatino Linotype" w:hAnsi="Palatino Linotype" w:cs="Times New Roman"/>
          <w:color w:val="010000"/>
          <w:shd w:val="clear" w:color="auto" w:fill="FFFFFF"/>
        </w:rPr>
        <w:t xml:space="preserve">       </w:t>
      </w:r>
      <w:r w:rsidR="00446E20" w:rsidRPr="00685A23">
        <w:rPr>
          <w:rFonts w:ascii="Palatino Linotype" w:hAnsi="Palatino Linotype" w:cs="Times New Roman"/>
          <w:color w:val="010000"/>
          <w:highlight w:val="yellow"/>
          <w:shd w:val="clear" w:color="auto" w:fill="FFFFFF"/>
        </w:rPr>
        <w:t xml:space="preserve">Şüpheli / Sanık / </w:t>
      </w:r>
      <w:r w:rsidRPr="00685A23">
        <w:rPr>
          <w:rFonts w:ascii="Palatino Linotype" w:hAnsi="Palatino Linotype" w:cs="Times New Roman"/>
          <w:color w:val="010000"/>
          <w:highlight w:val="yellow"/>
          <w:shd w:val="clear" w:color="auto" w:fill="FFFFFF"/>
        </w:rPr>
        <w:t>Hükümlü</w:t>
      </w:r>
      <w:r w:rsidR="00685A23" w:rsidRPr="00685A23">
        <w:rPr>
          <w:rFonts w:ascii="Palatino Linotype" w:hAnsi="Palatino Linotype" w:cs="Times New Roman"/>
          <w:color w:val="010000"/>
          <w:highlight w:val="yellow"/>
          <w:shd w:val="clear" w:color="auto" w:fill="FFFFFF"/>
        </w:rPr>
        <w:t>/Eşi</w:t>
      </w:r>
    </w:p>
    <w:p w14:paraId="72DC683B" w14:textId="11CC776E" w:rsidR="004063DF" w:rsidRDefault="009C6702" w:rsidP="00B84193">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t>İmz</w:t>
      </w:r>
      <w:r w:rsidR="00B84193">
        <w:rPr>
          <w:rFonts w:ascii="Palatino Linotype" w:hAnsi="Palatino Linotype" w:cs="Times New Roman"/>
          <w:color w:val="010000"/>
          <w:shd w:val="clear" w:color="auto" w:fill="FFFFFF"/>
        </w:rPr>
        <w:t>a</w:t>
      </w:r>
    </w:p>
    <w:p w14:paraId="78750436" w14:textId="77777777" w:rsidR="00B84193" w:rsidRDefault="00B84193" w:rsidP="00B84193">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p>
    <w:p w14:paraId="05E8D67D" w14:textId="77777777" w:rsidR="00B84193" w:rsidRDefault="00B84193" w:rsidP="00B84193">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p>
    <w:p w14:paraId="7504CA22" w14:textId="77777777" w:rsidR="00B84193" w:rsidRPr="007941E4" w:rsidRDefault="00B84193" w:rsidP="007941E4">
      <w:pPr>
        <w:tabs>
          <w:tab w:val="left" w:pos="3870"/>
        </w:tabs>
        <w:spacing w:line="360" w:lineRule="auto"/>
        <w:ind w:right="-378"/>
        <w:jc w:val="both"/>
        <w:rPr>
          <w:rFonts w:ascii="Palatino Linotype" w:hAnsi="Palatino Linotype" w:cs="Times New Roman"/>
          <w:color w:val="010000"/>
          <w:shd w:val="clear" w:color="auto" w:fill="FFFFFF"/>
        </w:rPr>
      </w:pPr>
    </w:p>
    <w:p w14:paraId="3F7CF318" w14:textId="77777777" w:rsidR="00B84193" w:rsidRPr="00B84193" w:rsidRDefault="00B84193" w:rsidP="00B84193">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p>
    <w:p w14:paraId="3A2A8DE2" w14:textId="773E7AC7" w:rsidR="00685A23" w:rsidRPr="00685A23" w:rsidRDefault="004063DF" w:rsidP="00685A23">
      <w:pPr>
        <w:pStyle w:val="ListeParagraf"/>
        <w:tabs>
          <w:tab w:val="left" w:pos="3870"/>
        </w:tabs>
        <w:spacing w:line="360" w:lineRule="auto"/>
        <w:ind w:left="630" w:right="-378"/>
        <w:jc w:val="both"/>
        <w:rPr>
          <w:rFonts w:ascii="Palatino Linotype" w:hAnsi="Palatino Linotype" w:cs="Times New Roman"/>
          <w:b/>
          <w:color w:val="010000"/>
          <w:u w:val="thick"/>
          <w:shd w:val="clear" w:color="auto" w:fill="FFFFFF"/>
        </w:rPr>
      </w:pPr>
      <w:r w:rsidRPr="00C47AC0">
        <w:rPr>
          <w:rFonts w:ascii="Palatino Linotype" w:hAnsi="Palatino Linotype" w:cs="Times New Roman"/>
          <w:b/>
          <w:color w:val="010000"/>
          <w:u w:val="thick"/>
          <w:shd w:val="clear" w:color="auto" w:fill="FFFFFF"/>
        </w:rPr>
        <w:t>EK</w:t>
      </w:r>
      <w:r w:rsidR="00685A23">
        <w:rPr>
          <w:rFonts w:ascii="Palatino Linotype" w:hAnsi="Palatino Linotype" w:cs="Times New Roman"/>
          <w:b/>
          <w:color w:val="010000"/>
          <w:u w:val="thick"/>
          <w:shd w:val="clear" w:color="auto" w:fill="FFFFFF"/>
        </w:rPr>
        <w:t>’LER</w:t>
      </w:r>
    </w:p>
    <w:p w14:paraId="1D6F2A96" w14:textId="77777777" w:rsidR="00685A23" w:rsidRPr="000B65FA" w:rsidRDefault="00685A23" w:rsidP="00685A23">
      <w:pPr>
        <w:pStyle w:val="NormalWeb"/>
        <w:numPr>
          <w:ilvl w:val="0"/>
          <w:numId w:val="4"/>
        </w:numPr>
        <w:spacing w:before="0" w:beforeAutospacing="0" w:after="0" w:afterAutospacing="0"/>
        <w:ind w:left="360" w:firstLine="349"/>
        <w:jc w:val="both"/>
        <w:textAlignment w:val="baseline"/>
        <w:rPr>
          <w:rFonts w:ascii="Palatino Linotype" w:hAnsi="Palatino Linotype"/>
          <w:color w:val="000000"/>
        </w:rPr>
      </w:pPr>
      <w:r w:rsidRPr="000B65FA">
        <w:rPr>
          <w:rFonts w:ascii="Palatino Linotype" w:hAnsi="Palatino Linotype"/>
          <w:color w:val="000000"/>
        </w:rPr>
        <w:t>Nüfus Aile Kay</w:t>
      </w:r>
      <w:r>
        <w:rPr>
          <w:rFonts w:ascii="Palatino Linotype" w:hAnsi="Palatino Linotype"/>
          <w:color w:val="000000"/>
        </w:rPr>
        <w:t>ıt Örneği</w:t>
      </w:r>
      <w:r w:rsidRPr="000B65FA">
        <w:rPr>
          <w:rFonts w:ascii="Palatino Linotype" w:hAnsi="Palatino Linotype"/>
          <w:color w:val="000000"/>
        </w:rPr>
        <w:t>, </w:t>
      </w:r>
    </w:p>
    <w:p w14:paraId="737CC7CD" w14:textId="77777777" w:rsidR="00B84193" w:rsidRDefault="00685A23" w:rsidP="00B84193">
      <w:pPr>
        <w:pStyle w:val="NormalWeb"/>
        <w:numPr>
          <w:ilvl w:val="0"/>
          <w:numId w:val="4"/>
        </w:numPr>
        <w:spacing w:before="0" w:beforeAutospacing="0" w:after="0" w:afterAutospacing="0"/>
        <w:ind w:left="360" w:firstLine="349"/>
        <w:jc w:val="both"/>
        <w:textAlignment w:val="baseline"/>
        <w:rPr>
          <w:rFonts w:ascii="Palatino Linotype" w:hAnsi="Palatino Linotype"/>
          <w:color w:val="000000"/>
        </w:rPr>
      </w:pPr>
      <w:r w:rsidRPr="000B65FA">
        <w:rPr>
          <w:rFonts w:ascii="Palatino Linotype" w:hAnsi="Palatino Linotype"/>
          <w:color w:val="000000"/>
        </w:rPr>
        <w:t>T.C. Kimlik Fotokopisi,</w:t>
      </w:r>
    </w:p>
    <w:p w14:paraId="37C197F3" w14:textId="3F10E017" w:rsidR="00B84193" w:rsidRPr="00B84193" w:rsidRDefault="00B84193" w:rsidP="00B84193">
      <w:pPr>
        <w:pStyle w:val="NormalWeb"/>
        <w:numPr>
          <w:ilvl w:val="0"/>
          <w:numId w:val="4"/>
        </w:numPr>
        <w:spacing w:before="0" w:beforeAutospacing="0" w:after="0" w:afterAutospacing="0"/>
        <w:ind w:left="360" w:firstLine="349"/>
        <w:jc w:val="both"/>
        <w:textAlignment w:val="baseline"/>
        <w:rPr>
          <w:rFonts w:ascii="Palatino Linotype" w:hAnsi="Palatino Linotype"/>
          <w:color w:val="000000"/>
        </w:rPr>
      </w:pPr>
      <w:r w:rsidRPr="00B84193">
        <w:rPr>
          <w:rFonts w:ascii="Palatino Linotype" w:hAnsi="Palatino Linotype"/>
          <w:color w:val="000000"/>
        </w:rPr>
        <w:t>….Sulh Hukuk Mahkemesi’nin …tarih, … E., … K. sayılı vasi tayini kararı</w:t>
      </w:r>
    </w:p>
    <w:p w14:paraId="106702F8" w14:textId="77777777" w:rsidR="00685A23" w:rsidRPr="000B65FA" w:rsidRDefault="00685A23" w:rsidP="00685A23">
      <w:pPr>
        <w:pStyle w:val="NormalWeb"/>
        <w:numPr>
          <w:ilvl w:val="0"/>
          <w:numId w:val="4"/>
        </w:numPr>
        <w:spacing w:before="0" w:beforeAutospacing="0" w:after="0" w:afterAutospacing="0"/>
        <w:ind w:left="360" w:firstLine="349"/>
        <w:jc w:val="both"/>
        <w:textAlignment w:val="baseline"/>
        <w:rPr>
          <w:rFonts w:ascii="Palatino Linotype" w:hAnsi="Palatino Linotype"/>
          <w:color w:val="000000"/>
        </w:rPr>
      </w:pPr>
      <w:r w:rsidRPr="000B65FA">
        <w:rPr>
          <w:rFonts w:ascii="Palatino Linotype" w:hAnsi="Palatino Linotype"/>
          <w:color w:val="010000"/>
          <w:shd w:val="clear" w:color="auto" w:fill="FFFFFF"/>
        </w:rPr>
        <w:t>AİHM Yüksel Yalçınkaya / Türkiye Kararı Özeti</w:t>
      </w:r>
    </w:p>
    <w:p w14:paraId="5AE9A355" w14:textId="77777777" w:rsidR="00685A23" w:rsidRDefault="00685A23" w:rsidP="00685A23">
      <w:pPr>
        <w:pStyle w:val="NormalWeb"/>
        <w:spacing w:before="0" w:beforeAutospacing="0" w:after="0" w:afterAutospacing="0"/>
        <w:jc w:val="both"/>
        <w:textAlignment w:val="baseline"/>
        <w:rPr>
          <w:rFonts w:ascii="Palatino Linotype" w:hAnsi="Palatino Linotype"/>
          <w:color w:val="010000"/>
          <w:shd w:val="clear" w:color="auto" w:fill="FFFFFF"/>
        </w:rPr>
      </w:pPr>
    </w:p>
    <w:p w14:paraId="1ED84728" w14:textId="62F1D0E0" w:rsidR="004063DF" w:rsidRPr="00C47AC0" w:rsidRDefault="00685A23" w:rsidP="00B84193">
      <w:pPr>
        <w:pStyle w:val="NormalWeb"/>
        <w:spacing w:before="0" w:beforeAutospacing="0" w:after="0" w:afterAutospacing="0"/>
        <w:ind w:firstLine="708"/>
        <w:jc w:val="both"/>
        <w:textAlignment w:val="baseline"/>
        <w:rPr>
          <w:rFonts w:ascii="Palatino Linotype" w:hAnsi="Palatino Linotype"/>
          <w:b/>
          <w:color w:val="010000"/>
          <w:u w:val="thick"/>
          <w:shd w:val="clear" w:color="auto" w:fill="FFFFFF"/>
        </w:rPr>
      </w:pPr>
      <w:r w:rsidRPr="000B65FA">
        <w:rPr>
          <w:rFonts w:ascii="Palatino Linotype" w:hAnsi="Palatino Linotype"/>
          <w:b/>
          <w:bCs/>
          <w:color w:val="010000"/>
          <w:shd w:val="clear" w:color="auto" w:fill="FFFFFF"/>
        </w:rPr>
        <w:t>Dikkat:</w:t>
      </w:r>
      <w:r>
        <w:rPr>
          <w:rFonts w:ascii="Palatino Linotype" w:hAnsi="Palatino Linotype"/>
          <w:color w:val="010000"/>
          <w:shd w:val="clear" w:color="auto" w:fill="FFFFFF"/>
        </w:rPr>
        <w:t xml:space="preserve"> </w:t>
      </w:r>
      <w:r w:rsidR="00B84193">
        <w:rPr>
          <w:rFonts w:ascii="Palatino Linotype" w:hAnsi="Palatino Linotype"/>
          <w:color w:val="010000"/>
          <w:highlight w:val="yellow"/>
          <w:shd w:val="clear" w:color="auto" w:fill="FFFFFF"/>
        </w:rPr>
        <w:t>Vasilerin 2 ve 3 numaralı, eşlerin 1 ve 2 numaralı belgeleri eklemeleri, başvuru yapan herkesin 4 numaralı karar özetini de eklemesi gerekir.</w:t>
      </w:r>
    </w:p>
    <w:sectPr w:rsidR="004063DF" w:rsidRPr="00C47AC0" w:rsidSect="00B84193">
      <w:pgSz w:w="11906" w:h="16838"/>
      <w:pgMar w:top="1276" w:right="1417"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9589C"/>
    <w:multiLevelType w:val="multilevel"/>
    <w:tmpl w:val="F87A1F0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4D6782"/>
    <w:multiLevelType w:val="hybridMultilevel"/>
    <w:tmpl w:val="D3BC9120"/>
    <w:lvl w:ilvl="0" w:tplc="EBA47760">
      <w:start w:val="1"/>
      <w:numFmt w:val="decimal"/>
      <w:lvlText w:val="%1."/>
      <w:lvlJc w:val="left"/>
      <w:pPr>
        <w:ind w:left="1320" w:hanging="360"/>
      </w:pPr>
      <w:rPr>
        <w:b/>
        <w:bCs w:val="0"/>
        <w:i w:val="0"/>
        <w:iCs/>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abstractNum w:abstractNumId="2" w15:restartNumberingAfterBreak="0">
    <w:nsid w:val="591B1E3F"/>
    <w:multiLevelType w:val="hybridMultilevel"/>
    <w:tmpl w:val="D19CE7C8"/>
    <w:lvl w:ilvl="0" w:tplc="80C0D848">
      <w:start w:val="1"/>
      <w:numFmt w:val="decimal"/>
      <w:lvlText w:val="%1."/>
      <w:lvlJc w:val="left"/>
      <w:pPr>
        <w:ind w:left="720" w:hanging="360"/>
      </w:pPr>
      <w:rPr>
        <w:b/>
        <w:bCs/>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9F20649"/>
    <w:multiLevelType w:val="hybridMultilevel"/>
    <w:tmpl w:val="1F1CE538"/>
    <w:lvl w:ilvl="0" w:tplc="0409000D">
      <w:start w:val="1"/>
      <w:numFmt w:val="bullet"/>
      <w:lvlText w:val=""/>
      <w:lvlJc w:val="left"/>
      <w:pPr>
        <w:ind w:left="1320" w:hanging="360"/>
      </w:pPr>
      <w:rPr>
        <w:rFonts w:ascii="Wingdings" w:hAnsi="Wingdings" w:hint="default"/>
        <w:b/>
        <w:bCs w:val="0"/>
        <w:i w:val="0"/>
        <w:iCs/>
      </w:rPr>
    </w:lvl>
    <w:lvl w:ilvl="1" w:tplc="FFFFFFFF" w:tentative="1">
      <w:start w:val="1"/>
      <w:numFmt w:val="lowerLetter"/>
      <w:lvlText w:val="%2."/>
      <w:lvlJc w:val="left"/>
      <w:pPr>
        <w:ind w:left="2040" w:hanging="360"/>
      </w:pPr>
    </w:lvl>
    <w:lvl w:ilvl="2" w:tplc="FFFFFFFF" w:tentative="1">
      <w:start w:val="1"/>
      <w:numFmt w:val="lowerRoman"/>
      <w:lvlText w:val="%3."/>
      <w:lvlJc w:val="right"/>
      <w:pPr>
        <w:ind w:left="2760" w:hanging="180"/>
      </w:pPr>
    </w:lvl>
    <w:lvl w:ilvl="3" w:tplc="FFFFFFFF" w:tentative="1">
      <w:start w:val="1"/>
      <w:numFmt w:val="decimal"/>
      <w:lvlText w:val="%4."/>
      <w:lvlJc w:val="left"/>
      <w:pPr>
        <w:ind w:left="3480" w:hanging="360"/>
      </w:p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abstractNum w:abstractNumId="4" w15:restartNumberingAfterBreak="0">
    <w:nsid w:val="7AC36854"/>
    <w:multiLevelType w:val="hybridMultilevel"/>
    <w:tmpl w:val="6F941D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6836314">
    <w:abstractNumId w:val="2"/>
  </w:num>
  <w:num w:numId="2" w16cid:durableId="351878185">
    <w:abstractNumId w:val="1"/>
  </w:num>
  <w:num w:numId="3" w16cid:durableId="1557542335">
    <w:abstractNumId w:val="3"/>
  </w:num>
  <w:num w:numId="4" w16cid:durableId="413354384">
    <w:abstractNumId w:val="0"/>
  </w:num>
  <w:num w:numId="5" w16cid:durableId="17463854">
    <w:abstractNumId w:val="4"/>
  </w:num>
  <w:num w:numId="6" w16cid:durableId="2088722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FB"/>
    <w:rsid w:val="0000224F"/>
    <w:rsid w:val="0000402A"/>
    <w:rsid w:val="00013342"/>
    <w:rsid w:val="00013B6E"/>
    <w:rsid w:val="00060B5D"/>
    <w:rsid w:val="0006254E"/>
    <w:rsid w:val="00074124"/>
    <w:rsid w:val="000D0E5C"/>
    <w:rsid w:val="00103BDA"/>
    <w:rsid w:val="00113171"/>
    <w:rsid w:val="0014471D"/>
    <w:rsid w:val="00161044"/>
    <w:rsid w:val="00196279"/>
    <w:rsid w:val="00221D24"/>
    <w:rsid w:val="00225111"/>
    <w:rsid w:val="00261695"/>
    <w:rsid w:val="00265EA3"/>
    <w:rsid w:val="00291AC1"/>
    <w:rsid w:val="002B543A"/>
    <w:rsid w:val="00382C15"/>
    <w:rsid w:val="003943FE"/>
    <w:rsid w:val="00397A8C"/>
    <w:rsid w:val="003A6719"/>
    <w:rsid w:val="003B099C"/>
    <w:rsid w:val="003B35EE"/>
    <w:rsid w:val="003B4A04"/>
    <w:rsid w:val="003E157F"/>
    <w:rsid w:val="003E17B1"/>
    <w:rsid w:val="004063DF"/>
    <w:rsid w:val="0041095E"/>
    <w:rsid w:val="00446E20"/>
    <w:rsid w:val="00454D63"/>
    <w:rsid w:val="00494009"/>
    <w:rsid w:val="0049707F"/>
    <w:rsid w:val="004A1B60"/>
    <w:rsid w:val="004E02D8"/>
    <w:rsid w:val="004E10A2"/>
    <w:rsid w:val="004E3A16"/>
    <w:rsid w:val="004F0048"/>
    <w:rsid w:val="00514C89"/>
    <w:rsid w:val="00533040"/>
    <w:rsid w:val="0059049D"/>
    <w:rsid w:val="005A714C"/>
    <w:rsid w:val="005B4E3A"/>
    <w:rsid w:val="006112FE"/>
    <w:rsid w:val="00654E7F"/>
    <w:rsid w:val="006760BE"/>
    <w:rsid w:val="00681B83"/>
    <w:rsid w:val="00685A23"/>
    <w:rsid w:val="00695C3D"/>
    <w:rsid w:val="006B71ED"/>
    <w:rsid w:val="006C1FA0"/>
    <w:rsid w:val="006D22DA"/>
    <w:rsid w:val="006D3547"/>
    <w:rsid w:val="0070131E"/>
    <w:rsid w:val="007018E6"/>
    <w:rsid w:val="00720C35"/>
    <w:rsid w:val="00720D6B"/>
    <w:rsid w:val="007228F7"/>
    <w:rsid w:val="00741EAE"/>
    <w:rsid w:val="00745D10"/>
    <w:rsid w:val="00746227"/>
    <w:rsid w:val="00762D0A"/>
    <w:rsid w:val="00786E68"/>
    <w:rsid w:val="007941E4"/>
    <w:rsid w:val="007A42D5"/>
    <w:rsid w:val="007C7CD2"/>
    <w:rsid w:val="007E0C87"/>
    <w:rsid w:val="00854D9B"/>
    <w:rsid w:val="00865AE8"/>
    <w:rsid w:val="00875E34"/>
    <w:rsid w:val="008A5BF2"/>
    <w:rsid w:val="008C15EA"/>
    <w:rsid w:val="008D5592"/>
    <w:rsid w:val="008E10E0"/>
    <w:rsid w:val="00924F0F"/>
    <w:rsid w:val="00926DF6"/>
    <w:rsid w:val="00927DB9"/>
    <w:rsid w:val="00940007"/>
    <w:rsid w:val="009437AD"/>
    <w:rsid w:val="00951289"/>
    <w:rsid w:val="0096567D"/>
    <w:rsid w:val="009815B6"/>
    <w:rsid w:val="0098439E"/>
    <w:rsid w:val="00987EF7"/>
    <w:rsid w:val="0099678B"/>
    <w:rsid w:val="009C3F9F"/>
    <w:rsid w:val="009C6702"/>
    <w:rsid w:val="009F0FBE"/>
    <w:rsid w:val="00A024B5"/>
    <w:rsid w:val="00A03E39"/>
    <w:rsid w:val="00A155C9"/>
    <w:rsid w:val="00A324F6"/>
    <w:rsid w:val="00A32596"/>
    <w:rsid w:val="00A5622E"/>
    <w:rsid w:val="00AB0224"/>
    <w:rsid w:val="00AC5724"/>
    <w:rsid w:val="00AE4031"/>
    <w:rsid w:val="00AE4292"/>
    <w:rsid w:val="00AE4F87"/>
    <w:rsid w:val="00AE78E5"/>
    <w:rsid w:val="00B64CC8"/>
    <w:rsid w:val="00B70657"/>
    <w:rsid w:val="00B76022"/>
    <w:rsid w:val="00B84193"/>
    <w:rsid w:val="00B928E8"/>
    <w:rsid w:val="00BA5188"/>
    <w:rsid w:val="00BC24A5"/>
    <w:rsid w:val="00BE0158"/>
    <w:rsid w:val="00C112DC"/>
    <w:rsid w:val="00C47AC0"/>
    <w:rsid w:val="00C61BA4"/>
    <w:rsid w:val="00C70A1B"/>
    <w:rsid w:val="00C7633D"/>
    <w:rsid w:val="00CA18D9"/>
    <w:rsid w:val="00CA2C93"/>
    <w:rsid w:val="00CC1997"/>
    <w:rsid w:val="00CC34E0"/>
    <w:rsid w:val="00CD76E1"/>
    <w:rsid w:val="00CE2F22"/>
    <w:rsid w:val="00CE3B84"/>
    <w:rsid w:val="00D4338F"/>
    <w:rsid w:val="00D545E8"/>
    <w:rsid w:val="00D97B5F"/>
    <w:rsid w:val="00DA3607"/>
    <w:rsid w:val="00DB4AFB"/>
    <w:rsid w:val="00DB6220"/>
    <w:rsid w:val="00DC5A41"/>
    <w:rsid w:val="00DD4EB8"/>
    <w:rsid w:val="00E236ED"/>
    <w:rsid w:val="00E40DC4"/>
    <w:rsid w:val="00E62FD3"/>
    <w:rsid w:val="00E732BA"/>
    <w:rsid w:val="00E83C07"/>
    <w:rsid w:val="00E90F06"/>
    <w:rsid w:val="00EC7A30"/>
    <w:rsid w:val="00ED0C78"/>
    <w:rsid w:val="00EF1192"/>
    <w:rsid w:val="00F3397C"/>
    <w:rsid w:val="00F508CA"/>
    <w:rsid w:val="00F83122"/>
    <w:rsid w:val="00F95FC5"/>
    <w:rsid w:val="00FC70D0"/>
    <w:rsid w:val="00FD27E9"/>
    <w:rsid w:val="00FF52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E03C"/>
  <w15:chartTrackingRefBased/>
  <w15:docId w15:val="{55FC308F-69AB-4101-B181-4995C080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C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9707F"/>
    <w:rPr>
      <w:color w:val="0563C1" w:themeColor="hyperlink"/>
      <w:u w:val="single"/>
    </w:rPr>
  </w:style>
  <w:style w:type="paragraph" w:styleId="ListeParagraf">
    <w:name w:val="List Paragraph"/>
    <w:basedOn w:val="Normal"/>
    <w:uiPriority w:val="34"/>
    <w:qFormat/>
    <w:rsid w:val="00225111"/>
    <w:pPr>
      <w:ind w:left="720"/>
      <w:contextualSpacing/>
    </w:pPr>
  </w:style>
  <w:style w:type="paragraph" w:styleId="NormalWeb">
    <w:name w:val="Normal (Web)"/>
    <w:basedOn w:val="Normal"/>
    <w:uiPriority w:val="99"/>
    <w:unhideWhenUsed/>
    <w:rsid w:val="00685A2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136553">
      <w:bodyDiv w:val="1"/>
      <w:marLeft w:val="0"/>
      <w:marRight w:val="0"/>
      <w:marTop w:val="0"/>
      <w:marBottom w:val="0"/>
      <w:divBdr>
        <w:top w:val="none" w:sz="0" w:space="0" w:color="auto"/>
        <w:left w:val="none" w:sz="0" w:space="0" w:color="auto"/>
        <w:bottom w:val="none" w:sz="0" w:space="0" w:color="auto"/>
        <w:right w:val="none" w:sz="0" w:space="0" w:color="auto"/>
      </w:divBdr>
    </w:div>
    <w:div w:id="779493527">
      <w:bodyDiv w:val="1"/>
      <w:marLeft w:val="0"/>
      <w:marRight w:val="0"/>
      <w:marTop w:val="0"/>
      <w:marBottom w:val="0"/>
      <w:divBdr>
        <w:top w:val="none" w:sz="0" w:space="0" w:color="auto"/>
        <w:left w:val="none" w:sz="0" w:space="0" w:color="auto"/>
        <w:bottom w:val="none" w:sz="0" w:space="0" w:color="auto"/>
        <w:right w:val="none" w:sz="0" w:space="0" w:color="auto"/>
      </w:divBdr>
    </w:div>
    <w:div w:id="1978485392">
      <w:bodyDiv w:val="1"/>
      <w:marLeft w:val="0"/>
      <w:marRight w:val="0"/>
      <w:marTop w:val="0"/>
      <w:marBottom w:val="0"/>
      <w:divBdr>
        <w:top w:val="none" w:sz="0" w:space="0" w:color="auto"/>
        <w:left w:val="none" w:sz="0" w:space="0" w:color="auto"/>
        <w:bottom w:val="none" w:sz="0" w:space="0" w:color="auto"/>
        <w:right w:val="none" w:sz="0" w:space="0" w:color="auto"/>
      </w:divBdr>
    </w:div>
    <w:div w:id="211513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4A74B-8516-4CA1-8871-F5B9F9C50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7404</Words>
  <Characters>42205</Characters>
  <Application>Microsoft Office Word</Application>
  <DocSecurity>0</DocSecurity>
  <Lines>351</Lines>
  <Paragraphs>99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ufuk yesil</cp:lastModifiedBy>
  <cp:revision>5</cp:revision>
  <dcterms:created xsi:type="dcterms:W3CDTF">2023-10-21T22:36:00Z</dcterms:created>
  <dcterms:modified xsi:type="dcterms:W3CDTF">2023-10-22T10:11:00Z</dcterms:modified>
</cp:coreProperties>
</file>