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7A52" w14:textId="21D4A206" w:rsidR="006D40B2" w:rsidRPr="00492203" w:rsidRDefault="0047221A" w:rsidP="00492203">
      <w:pPr>
        <w:jc w:val="center"/>
        <w:rPr>
          <w:rFonts w:ascii="Arial Narrow" w:hAnsi="Arial Narrow" w:cs="Arial"/>
          <w:b/>
          <w:szCs w:val="24"/>
          <w:lang w:val="tr-TR"/>
        </w:rPr>
      </w:pPr>
      <w:r w:rsidRPr="00492203">
        <w:rPr>
          <w:rFonts w:ascii="Arial Narrow" w:hAnsi="Arial Narrow" w:cs="Arial"/>
          <w:b/>
          <w:szCs w:val="24"/>
          <w:lang w:val="tr-TR"/>
        </w:rPr>
        <w:t>BAŞVURU FORMUNA EK AÇIKLAMALAR</w:t>
      </w:r>
    </w:p>
    <w:p w14:paraId="65F15657"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 m.6’nın cezai boyutu, somut olayda uygulanabilir niteliktedir.</w:t>
      </w:r>
    </w:p>
    <w:p w14:paraId="768A3C0B"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Başvurucuya yönelik süreç, 15 Temmuz’dan çok önce HS(Y)K tarafından yapılan fişlemelere dayalı bir listenin, darbe girişiminin henüz sürdüğü 16 Temmuz sabahı Ankara Cumhuriyet Başsavcılığına verilmesiyle tetiklenmiştir. Önceden hazırlanmış bu liste, sabaha karşı yürürlüğe sokularak planlı bir süreci harekete geçirmiştir. Bu bağlamda HS(Y)K listesi gözaltı kararının gerekçesi yapılmış; gözaltına alınmış olmak açığa alma kararına, açığa alma kararı tutuklamaya, tutuklama ise meslekten çıkarma işlemine gerekçe olmuştur. Meslekten çıkarma kararı, iddianame ve yargılama sürecine dayanak yapılmış, verilen mahkûmiyet hükmü de Danıştay tarafından başvurucunun meslekten çıkarılmasına karşı açtığı davanın reddine gerekçe gösterilmiştir. Böylece gözaltından mahkûmiyete ve hatta Danıştay kararına kadar tüm aşamalar, hukuka aykırı fişleme listelerine dayalı, kapalı ve otomatik bir döngü oluşturmuştur.</w:t>
      </w:r>
    </w:p>
    <w:p w14:paraId="302E562D"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Bu süreçte başvurucu, terör örgütü ile irtibatlı veya iltisaklı olma gerekçesiyle meslekten çıkarılmış, ömür boyu tüm kamu görevlerinden (avukatlık, noterlik, bilirkişilik ve arabuluculuk vb.) menedilmiş ve SGK şerhi nedeniyle özel sektörde de çalışamaz hale getirilmiştir. Başvurucunun meslekten çıkarılması işlemi, (i) her ne kadar olağanüstü bir tedbir olarak adlandırılsa da dayanağı doğrudan Türk Ceza Kanunu’nda (TCK) da suç olarak düzenlenen “terör örgütü üyeliği” ve eşdeğer sonuçlar doğuran “irtibat ve iltisaklı olmak”tır. (ii) başvurucu karalayıcı içerikli bir karar ve ekindeki listede “terör örgütü mensubu” olarak ilan edilmiştir. (iii) ömür boyu kamu görevinden ve diğer kamu hizmetlerinden menedilmiş ve özel sektörde çalışma imkânı da ortadan kaldırılmıştır. (iv) ayrıca ihraç tedbirleri münferit olmayıp, binlerce hâkim/savcı ve kamu görevlisine aynı genelleyici suçlamalarla topluca uygulanmıştır. </w:t>
      </w:r>
    </w:p>
    <w:p w14:paraId="7CACD0A3"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Kamu hizmetinden yasaklılık TCK m.53’te fer’î ceza, Devlet Memurları Kanunu m.125/e’de ise en ağır disiplin cezası olarak öngörülmüştür. Dolayısıyla meslekten çıkarma, yalnızca idari bir tedbir olmayıp, Türk hukukuna göre de ceza niteliği taşıyan ağır ve süresiz bir yaptırımdır. AİHM, Polonya’daki lustration davalarında (Matyjek §§49-58; Bobek §54), hapis cezası içermeyen 10 yıllık kamu görevinden men yaptırımlarını dahi, isnadın mahiyeti, damgalama etkisi ve yaptırımın ağırlığı nedeniyle cezai nitelikte saymış ve adil yargılanma hakkının ihlal edildiğine karar vermiştir. Türkiye’deki uygulama, daha da ağırdır: OHAL KHK’leri doğrudan suç isnadı içeren ifadelerle başvurucuyu kamuoyu önünde “terör örgütü mensubu” olarak damgalamış, ömür boyu kamu hizmetinden men ve özel sektörde fiilen çalışma yasağı sonucunu doğurmuştur. Üstelik Anayasa Mahkemesi (AYM) de </w:t>
      </w:r>
      <w:r w:rsidRPr="00492203">
        <w:rPr>
          <w:rFonts w:ascii="Arial Narrow" w:eastAsia="Times New Roman" w:hAnsi="Arial Narrow" w:cs="Times New Roman"/>
          <w:szCs w:val="24"/>
          <w:lang w:val="tr-TR"/>
        </w:rPr>
        <w:lastRenderedPageBreak/>
        <w:t>“üyelik/mensubiyet” ibaresinin masumiyet karinesini ihlal ettiğini tespit etmiştir (E:2018/81, 24.06.2021). Bu koşullar altında, başvurucuya uygulanan tedbirin Engel kriterleri uyarınca cezai nitelik taşıdığı açıktır ve AİHS m.6’nın tüm güvencelerinin uygulanması zorunludur.</w:t>
      </w:r>
    </w:p>
    <w:p w14:paraId="0CCD0AAF"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 m.6 § 1 - Bağımsız ve tarafsız mahkemede yargılanma hakkı ihlal edilmiştir.</w:t>
      </w:r>
    </w:p>
    <w:p w14:paraId="311F8CA7"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Türkiye’de yargı bağımsızlığı ve tarafsızlığı özellikle 15 Temmuz 2016 darbe girişimi öncesi ve sonrasında, bu ilke ciddi biçimde zedelenmiştir. İdari yargının en üst organı olan Danıştay, özellikle hâkim ve savcıların meslekten çıkarılma davalarına bakan 5. Daire ve temyiz merci olan İdari Dava Daireleri Kurulu (İDDK), bu dönemde yürütmenin etkisi altında yeniden yapılandırılmıştır. 2014 yılında HS(Y)K seçimlerini iktidar tarafından desteklenen Yargıda Birlik Platformu’nun (YBP) kazanmasıyla yüksek yargı üyeliklerinde objektif kriterler yerine siyasi sadakat esas alınmış, bu durum Avrupa Komisyonu raporlarına da yansımış ve yüksek mahkemelerin yürütmenin araçları haline geldiği yönünde ciddi kaygılar dile getirilmiştir (Örneğin bkz. 2016 İlerleme Raporu).</w:t>
      </w:r>
      <w:r w:rsidRPr="00492203">
        <w:rPr>
          <w:rStyle w:val="DipnotBavurusu"/>
          <w:rFonts w:ascii="Arial Narrow" w:hAnsi="Arial Narrow" w:cs="Times New Roman"/>
          <w:szCs w:val="24"/>
          <w:lang w:val="tr-TR"/>
        </w:rPr>
        <w:footnoteReference w:id="1"/>
      </w:r>
      <w:r w:rsidRPr="00492203">
        <w:rPr>
          <w:rFonts w:ascii="Arial Narrow" w:hAnsi="Arial Narrow" w:cs="Times New Roman"/>
          <w:szCs w:val="24"/>
          <w:lang w:val="tr-TR"/>
        </w:rPr>
        <w:t xml:space="preserve"> Liyakat yerine iktidara yakınlık ve “Gülen Hareketi’ne karşı mücadele” gibi siyasi ölçütlerin belirleyici hale gelmesi, yargı bağımsızlığını temelden sarsmış ve Danıştay’ın tarafsızlığına dair objektif kuşkular doğurmuştur.</w:t>
      </w:r>
    </w:p>
    <w:p w14:paraId="2263BB89"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12 Aralık 2014 tarihli 6572 sayılı Yasa ile Danıştay’da yeni daireler oluşturulup iş bölümü yeniden düzenlenmiş, hemen ardından HS(Y)K tarafından çoğunluğu YBP üyesi 33 yeni üye seçilmiştir. Anayasa ve Danıştay Kanunu gereği üyelerin dörtte birini doğrudan atama yetkisine sahip olan Cumhurbaşkanı, bu süreçte yürütmeye bağlı görev yapan ve hatta bazıları hukukçu olmayan 9 bürokratı Danıştay üyesi olarak atamıştır. Üyelerin dörtte üçünün yürütme kontrolündeki HS(Y)K, kalanının da partili Cumhurbaşkanı tarafından belirlenmesi, Danıştay’ın bağımsız bir mahkeme olma niteliğini fiilen ortadan kaldırmıştır.</w:t>
      </w:r>
    </w:p>
    <w:p w14:paraId="671E3A94"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lastRenderedPageBreak/>
        <w:t>15 Temmuz darbe girişiminin ertesi günü, Anayasa ve yasaların öngördüğü güvenceler yok sayılarak 48 Danıştay, 140 Yargıtay ve 2 AYM üyesi gözaltına alınıp tutuklanmıştır. Darbenin hemen ardından ilan edilen OHAL döneminde, 23 Temmuz 2016 tarihli 6723 sayılı Kanun ile Danıştay’ın üye sayısı 195’ten 116’ya düşürülmüş, mevcut üyelerin görevleri sona erdirilmiş, ardından HS(Y)K tarafından 75 yeni üye seçilerek Danıştay’ın yapısı tamamen değiştirilmiştir.</w:t>
      </w:r>
    </w:p>
    <w:p w14:paraId="0DBA285E"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Bu tasfiye, hâkimlik teminatı olan görev süresi güvencesini yok etmiş, YBP çizgisindeki HS(Y)K’nın belirlediği üyelerle Danıştay siyasi iktidarın denetimine girmiştir. 6723 sayılı Kanun ayrıca hâkim ve savcıların meslekten çıkarılma uyuşmazlıklarını inceleme görevini 16. Daire’den alarak 29 Aralık 2016’da kurulan 5. Daire’ye vermiş, temyiz merci olarak İDDK’yi belirlemiştir.</w:t>
      </w:r>
    </w:p>
    <w:p w14:paraId="39AB6781"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2017 Anayasa değişikliğiyle Cumhurbaşkanlığı Hükümet Sistemi’ne geçilmiş, yürütme yetkisi tamamen Cumhurbaşkanı’nda toplanmıştır. Bakanlar Kurulu kaldırılmış, böylece Danıştay artık doğrudan Cumhurbaşkanı kararlarını ilk derece mahkemesi olarak inceleyen merci haline gelmiştir. HS(Y)K, Hakimler ve Savcılar Kurulu (HSK) adını alarak yapısı kökten değiştirilmiştir. Üyelerinin altısının TBMM, yedisinin Cumhurbaşkanı tarafından seçileceği, Adalet Bakanı ve Müsteşarının doğal üye olacağı düzenlenmiştir. Böylece HSK, tamamen yürütme ve yasama çoğunluğunun kontrolüne bırakılmış; Danıştay üyelerinin seçiminde siyasi iktidar tartışmasız belirleyici hale getirilmiştir. Anayasa’da Danıştay üyelerinin üçte dördünün HSK, dörtte birinin Cumhurbaşkanı tarafından seçileceği hükmü (m. 155) korunmuş görünse de HSK’nın siyasal iktidarca şekillendirilmesi çoğulculuk görüntüsünü ortadan kaldırmıştır. Böylece hem denetlediği makam hem de üyelerini belirleyen makam aynı siyasi otoriteye bağlanmış, kuvvetler ayrılığı ciddi biçimde zedelenmiştir.</w:t>
      </w:r>
    </w:p>
    <w:p w14:paraId="7FAE9308" w14:textId="77777777" w:rsidR="00492203" w:rsidRPr="00492203" w:rsidRDefault="00492203" w:rsidP="00492203">
      <w:pPr>
        <w:pStyle w:val="ListeParagraf"/>
        <w:numPr>
          <w:ilvl w:val="0"/>
          <w:numId w:val="1"/>
        </w:numPr>
        <w:tabs>
          <w:tab w:val="left" w:pos="284"/>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Bunu takiben, 24 Temmuz 2017 tarihli 696 sayılı OHAL KHK’sıyla Danıştay’a 12 yeni üyelik kadrosu ihdas edilmiş, seçimler 16 Temmuz 2018’de yapılmıştır. HSK kriterleri açıklamasa da Anadolu Ajansı, seçilenlerin çoğunun “FETÖ ile mücadelede görev almış” isimlerden oluştuğunu duyurmuş, hatta bazı üyelerin baktıkları davaları örnek göstermiştir.</w:t>
      </w:r>
      <w:r w:rsidRPr="00492203">
        <w:rPr>
          <w:rStyle w:val="DipnotBavurusu"/>
          <w:rFonts w:ascii="Arial Narrow" w:hAnsi="Arial Narrow" w:cs="Times New Roman"/>
          <w:szCs w:val="24"/>
          <w:lang w:val="tr-TR"/>
        </w:rPr>
        <w:footnoteReference w:id="2"/>
      </w:r>
      <w:r w:rsidRPr="00492203">
        <w:rPr>
          <w:rFonts w:ascii="Arial Narrow" w:hAnsi="Arial Narrow" w:cs="Times New Roman"/>
          <w:szCs w:val="24"/>
          <w:lang w:val="tr-TR"/>
        </w:rPr>
        <w:t xml:space="preserve"> Bu durum, Danıştay üyeliklerinde liyakat yerine yürütmenin politik tercihleri doğrultusunda belirlemelerin yapıldığını açıkça ortaya koymaktadır.</w:t>
      </w:r>
    </w:p>
    <w:p w14:paraId="674B8B92"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 xml:space="preserve">Hem siyasi iktidara yakın üye profili hem verdiği kararlar hem de üyelerin yaptıkları açıklamalar Danıştay 5. Dairesinin objektif tarafsızlık görünümünü ortadan kaldırmıştır. Örneğin, Yunus Aykın darbeden aylar sonra yaptığı konuşmalarda “doğru liderlik” ve “ülkenin </w:t>
      </w:r>
      <w:r w:rsidRPr="00492203">
        <w:rPr>
          <w:rFonts w:ascii="Arial Narrow" w:hAnsi="Arial Narrow" w:cs="Times New Roman"/>
          <w:szCs w:val="24"/>
          <w:lang w:val="tr-TR"/>
        </w:rPr>
        <w:lastRenderedPageBreak/>
        <w:t>beka sorunu” gibi siyasi söylemlerle tarafsızlığı konusunda ciddi kuşkular uyandırmıştır.</w:t>
      </w:r>
      <w:r w:rsidRPr="00492203">
        <w:rPr>
          <w:rStyle w:val="DipnotBavurusu"/>
          <w:rFonts w:ascii="Arial Narrow" w:hAnsi="Arial Narrow" w:cs="Times New Roman"/>
          <w:szCs w:val="24"/>
          <w:lang w:val="tr-TR"/>
        </w:rPr>
        <w:footnoteReference w:id="3"/>
      </w:r>
      <w:r w:rsidRPr="00492203">
        <w:rPr>
          <w:rFonts w:ascii="Arial Narrow" w:hAnsi="Arial Narrow" w:cs="Times New Roman"/>
          <w:szCs w:val="24"/>
          <w:lang w:val="tr-TR"/>
        </w:rPr>
        <w:t xml:space="preserve"> Cumhurbaşkanı tarafından atanan ve hukukçu olmayan İsmail Kalender ile daha önce AKP’den milletvekili aday adayı olan Cevdet Malkoç’un üyelikleri de bağımsızlık ve tarafsızlık sorununa dair endişeleri derinleştirmiştir. Benzer şekilde, Adalet Bakanlığı Müsteşar Yardımcısı ve YBP Başkanı iken Danıştay’a seçilen Musa Heybet, 2017-2018 yıllarında yaptığı açıklamalarda açıkça “FETÖ ile mücadele”, “darbe yargılamaları”, “milli irade” ve “tasfiyelerle gelen huzur” gibi ifadeler kullanmıştır. Bu söylemler, davalara ön yargılı yaklaşımın ve yürütmenin söylemleriyle paralel hareket ettiğinin göstergesi olmuştur.</w:t>
      </w:r>
      <w:r w:rsidRPr="00492203">
        <w:rPr>
          <w:rStyle w:val="DipnotBavurusu"/>
          <w:rFonts w:ascii="Arial Narrow" w:hAnsi="Arial Narrow" w:cs="Times New Roman"/>
          <w:szCs w:val="24"/>
          <w:lang w:val="tr-TR"/>
        </w:rPr>
        <w:footnoteReference w:id="4"/>
      </w:r>
      <w:r w:rsidRPr="00492203">
        <w:rPr>
          <w:rFonts w:ascii="Arial Narrow" w:hAnsi="Arial Narrow" w:cs="Times New Roman"/>
          <w:szCs w:val="24"/>
          <w:lang w:val="tr-TR"/>
        </w:rPr>
        <w:t xml:space="preserve"> Görüldüğü üzere, 5. Daire üyelerinin bizzat kendi beyanları, tarafsızlıkları konusunda haklı şüphelere yol açmıştır.</w:t>
      </w:r>
    </w:p>
    <w:p w14:paraId="58364F02" w14:textId="15ACBD56"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İDDK’nın tarafsız olmadığına dair somut örneklerden biri de hükümete yakın Sabah gazetesinin 450 yargı mensubunun Danıştay 5. Dairesi tarafından göreve iade edildiği ve HSK itirazlarının İDDK’da gündeme alınmadığı yönündeki haberidir.</w:t>
      </w:r>
      <w:r w:rsidRPr="00492203">
        <w:rPr>
          <w:rStyle w:val="DipnotBavurusu"/>
          <w:rFonts w:ascii="Arial Narrow" w:hAnsi="Arial Narrow" w:cs="Times New Roman"/>
          <w:szCs w:val="24"/>
          <w:lang w:val="tr-TR"/>
        </w:rPr>
        <w:footnoteReference w:id="5"/>
      </w:r>
      <w:r w:rsidRPr="00492203">
        <w:rPr>
          <w:rFonts w:ascii="Arial Narrow" w:hAnsi="Arial Narrow" w:cs="Times New Roman"/>
          <w:szCs w:val="24"/>
          <w:lang w:val="tr-TR"/>
        </w:rPr>
        <w:t xml:space="preserve"> Bu haber üzerine Cumhurbaşkanı Erdoğan, Danıştay’ın kararlarına tepki göstermiş ve sürecin takipçisi olacaklarını açıklamıştır.</w:t>
      </w:r>
      <w:r w:rsidRPr="00492203">
        <w:rPr>
          <w:rStyle w:val="DipnotBavurusu"/>
          <w:rFonts w:ascii="Arial Narrow" w:hAnsi="Arial Narrow" w:cs="Times New Roman"/>
          <w:szCs w:val="24"/>
          <w:lang w:val="tr-TR"/>
        </w:rPr>
        <w:footnoteReference w:id="6"/>
      </w:r>
      <w:r w:rsidRPr="00492203">
        <w:rPr>
          <w:rFonts w:ascii="Arial Narrow" w:hAnsi="Arial Narrow" w:cs="Times New Roman"/>
          <w:szCs w:val="24"/>
          <w:lang w:val="tr-TR"/>
        </w:rPr>
        <w:t xml:space="preserve"> Tepkinin ardından Danıştay internet sitesinde bir açıklama yayımlayıp kısa süre sonra kaldırmış, HSK ise iade edilen 387 isim hakkında yeniden inceleme başlatmıştır. Bu süreçte, 5. Daire’nin verdiği iade kararlarının büyük çoğunluğu İDDK tarafından bozulmuştur. Bu gelişmeler, yürütmenin baskısıyla hareket eden İDDK’nın bağımsız ve tarafsız bir merci olmadığını açıkça göstermektedir.</w:t>
      </w:r>
      <w:r w:rsidR="00636580">
        <w:rPr>
          <w:rStyle w:val="DipnotBavurusu"/>
          <w:rFonts w:ascii="Arial Narrow" w:hAnsi="Arial Narrow" w:cs="Times New Roman"/>
          <w:szCs w:val="24"/>
          <w:lang w:val="tr-TR"/>
        </w:rPr>
        <w:footnoteReference w:id="7"/>
      </w:r>
    </w:p>
    <w:p w14:paraId="3681D9F1"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15 Temmuz öncesi ve sonrası verilen kararların karşılaştırılması, Danıştay içtihatlarında köklü bir kırılma olduğunu göstermektedir. 2010-2015 döneminde disiplin hukukunun temel güvenceleri titizlikle uygulanırken, 2016 sonrasında özellikle “FETÖ/PDY ile iltisak ve irtibat” gerekçesiyle ihraç işlemlerinde bu güvenceler tamamıyla terk edilmiştir.</w:t>
      </w:r>
      <w:bookmarkStart w:id="0" w:name="_Hlk209701395"/>
    </w:p>
    <w:p w14:paraId="2E92C0B4"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2010-2015 arası</w:t>
      </w:r>
      <w:bookmarkEnd w:id="0"/>
      <w:r w:rsidRPr="00492203">
        <w:rPr>
          <w:rFonts w:ascii="Arial Narrow" w:hAnsi="Arial Narrow" w:cs="Times New Roman"/>
          <w:szCs w:val="24"/>
          <w:lang w:val="tr-TR"/>
        </w:rPr>
        <w:t xml:space="preserve">nda Danıştay, suçun şahsiliği ilkesine mutlak bağlı kalmış, kamu görevlilerinin eşleri veya yakınlarının fiillerini davacının mesleki sorumluluğuna yansıtmamış; eşin örgütsel bağlantısı gibi durumları delil kabul etmemiştir (Bkz. Danıştay İDDK, E.2013/3683, 09.11.2015). Aynı dönemde, ceza mahkemelerinden verilen beraat kararlarına </w:t>
      </w:r>
      <w:r w:rsidRPr="00492203">
        <w:rPr>
          <w:rFonts w:ascii="Arial Narrow" w:hAnsi="Arial Narrow" w:cs="Times New Roman"/>
          <w:szCs w:val="24"/>
          <w:lang w:val="tr-TR"/>
        </w:rPr>
        <w:lastRenderedPageBreak/>
        <w:t>da bağlayıcılık tanınmış; ceza yargılamasında kişinin suçsuz olduğu kabul edilmişse, idari yargıda bu tespite bağlı kalmıştır. Savunma hakkı da mutlak güvence sayılmış, savunma alınmadan yapılan disiplin veya ihraç işlemleri iptal edilmiştir. Danıştay, savunmanın şekli değil esasa ilişkin bir güvence olduğunu açıkça belirtmiştir (Bkz. Danıştay İDDK, E.2012/1517). OHAL döneminde ise savunma hakkının “telafi edilebilir” görülmesiyle tamamen zıt bir yaklaşım sergilenmiştir. Ayrıca, bu dönemde delil standardı yüksek tutulmuş, meslekten çıkarma gibi ağır yaptırımlar için “her türlü şüpheden uzak, kesin ve inandırıcı delil” aranmış, söylenti veya soyut kanaatlerle verilen işlemler iptal edilmiştir (Bkz. Danıştay 5. Daire E.2011/4321).</w:t>
      </w:r>
    </w:p>
    <w:p w14:paraId="4EF77E2D"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2016 sonrası Danıştay içtihatları, meslekten çıkarma işlemlerini disiplin cezası olmaktan çıkarıp “terör örgütleriyle veya milli güvenliğe karşı faaliyetlerde bulunan yapılarla irtibat ve iltisak” gerekçesiyle alınan “nihai sonuç doğuran olağanüstü tedbir” olarak tanımlamıştır (Bkz. Danıştay 5. Daire., E. 2016/8196, 04.10.2016). Bu yaklaşım, önceki dönemdeki yüksek delil standardı ve hak güvencelerinden köklü bir kopuşu temsil etmektedir.</w:t>
      </w:r>
    </w:p>
    <w:p w14:paraId="07B05473"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Bu dönemde suçun şahsiliği ilkesi de terk edilmiştir. Somut delil bulunmadığı hallerde eşin örgütsel bağlantısı davacıya yüklenmiş, “hayatın olağan akışına göre eşin durumunu bilmesi gerekirdi” gerekçesiyle meslekten çıkarma kararlarına onay verilmiştir (Bkz. Danıştay 5. Daire, E.2017/14956, 27.06.2022). Bu uygulama, yukarıda değinilen eşin fiillerinin davacıya yüklenemeyeceğini vurgulayan içtihatlarla tamamen çelişmektedir. Yine, ceza yargılamasında beraat eden kişiler hakkında Danıştay, beraat kararını bağlayıcı görmemiş; “örgüt evinde kalmak” ve bazı sosyal ilişkileri “iltisak” için yeterli sayarak ihraç kararlarını onamıştır (Bkz. Danıştay 5. Daire, E.2017/7311, 17.10.2022). Böylece beraatin disiplin yargısında fiilin sübut bulmadığını gösterdiği yönündeki önceki yaklaşım terk edilmiştir.</w:t>
      </w:r>
    </w:p>
    <w:p w14:paraId="12A479ED"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Bazı davalarda, hâkim/savcıların verdikleri kararlar örgütle irtibatın delili sayılmış, yargısal takdir hakkı hiçe sayılmıştır (Bkz. Danıştay 5. Daire, E.2018/3681, 01.12.2022; Danıştay İDDK, E.2022/2753, 11.12.2023). Bu yaklaşım, yargısal faaliyeti doğrudan suç delili olarak görmüş ve önceki dönemde iptal sebebi sayılan gerekçelerin ihraç için kullanılmasına yol açmıştır.</w:t>
      </w:r>
    </w:p>
    <w:p w14:paraId="4AE62AC6"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 xml:space="preserve">Ceza davaları kesinleşmeden de ihraç kararları verilmiş, yalnızca ankesörlü telefon kayıtları, Bank Asya hesap hareketleri veya tanık beyanları “iltisak” için yeterli görülmüştür (Bkz. Danıştay İDDK, E.2022/2527, 04.07.2023). Bu durum, Danıştay’ın ceza ve idare yargısı arasındaki bağı kopardığını ve delil standardını olağanüstü biçimde düşürdüğünü göstermektedir. Ayrıca, beraat kararlarına rağmen, idari yargı açısından “iltisak ve irtibatın” </w:t>
      </w:r>
      <w:r w:rsidRPr="00492203">
        <w:rPr>
          <w:rFonts w:ascii="Arial Narrow" w:hAnsi="Arial Narrow" w:cs="Times New Roman"/>
          <w:szCs w:val="24"/>
          <w:lang w:val="tr-TR"/>
        </w:rPr>
        <w:lastRenderedPageBreak/>
        <w:t>farklı olduğu belirtilerek geçmişte “örgüt evlerinde kalma”, “kod adı kullanma” gibi olgular meslekten çıkarma için yeterli sayılmıştır (Bkz. Danıştay İDDK, E.2022/376, 05.02.2024). Bu yaklaşımla, bağımsız değerlendirme adı altında, beraat kararlarının bağlayıcılığı tamamen ortadan kaldırılmıştır.</w:t>
      </w:r>
    </w:p>
    <w:p w14:paraId="7B03D82D" w14:textId="77777777" w:rsidR="00492203" w:rsidRPr="00492203" w:rsidRDefault="00492203" w:rsidP="00492203">
      <w:pPr>
        <w:pStyle w:val="ListeParagraf"/>
        <w:numPr>
          <w:ilvl w:val="0"/>
          <w:numId w:val="1"/>
        </w:numPr>
        <w:tabs>
          <w:tab w:val="left" w:pos="426"/>
        </w:tabs>
        <w:spacing w:before="0" w:after="0" w:line="360" w:lineRule="auto"/>
        <w:ind w:left="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AYM, </w:t>
      </w:r>
      <w:r w:rsidRPr="00492203">
        <w:rPr>
          <w:rFonts w:ascii="Arial Narrow" w:eastAsia="Times New Roman" w:hAnsi="Arial Narrow" w:cs="Times New Roman"/>
          <w:i/>
          <w:iCs/>
          <w:szCs w:val="24"/>
          <w:lang w:val="tr-TR"/>
        </w:rPr>
        <w:t>Yalçınkaya</w:t>
      </w:r>
      <w:r w:rsidRPr="00492203">
        <w:rPr>
          <w:rFonts w:ascii="Arial Narrow" w:eastAsia="Times New Roman" w:hAnsi="Arial Narrow" w:cs="Times New Roman"/>
          <w:szCs w:val="24"/>
          <w:lang w:val="tr-TR"/>
        </w:rPr>
        <w:t xml:space="preserve"> kararında ve binlerce benzer başvuruda görüldüğü üzere, özellikle Gülen Cemaati ile bağlantısı olan ya da öyle olduğu kabul edilen kişilerin neredeyse tüm başvurularında açık hak ihlallerini görmezden gelen sistematik bir yaklaşım sergilemiştir. Ayrıca, ihraç işlemine karşı yapılan başvurulara dair kararlarda imzası bulunan üyelerin birçoğu, geçmişte Adalet Bakanlığı ve HS(Y)K’da yürütmeye bağlı görevlerde bulunmuş, hükümete yakınlıkları ve taraflı açıklamalarıyla bilinen kişilerdir. AİHM’in bağımsızlık ve tarafsızlık ölçütleri bakımından, AYM üyelerinin çoğunluğunun hükümetle yakın siyasi bağları, tartışmalı terfileri, Gülen Cemaatine ve gerçek/varsayılan mensuplarına yönelik kriminalize edici açıklamaları nesnel tarafsızlığı zedelemektedir. Yargıtay 9. Ceza Dairesi’nin </w:t>
      </w:r>
      <w:r w:rsidRPr="00492203">
        <w:rPr>
          <w:rFonts w:ascii="Arial Narrow" w:eastAsia="Times New Roman" w:hAnsi="Arial Narrow" w:cs="Times New Roman"/>
          <w:i/>
          <w:iCs/>
          <w:szCs w:val="24"/>
          <w:lang w:val="tr-TR"/>
        </w:rPr>
        <w:t>Birol Erdem</w:t>
      </w:r>
      <w:r w:rsidRPr="00492203">
        <w:rPr>
          <w:rFonts w:ascii="Arial Narrow" w:eastAsia="Times New Roman" w:hAnsi="Arial Narrow" w:cs="Times New Roman"/>
          <w:szCs w:val="24"/>
          <w:lang w:val="tr-TR"/>
        </w:rPr>
        <w:t xml:space="preserve"> kararında (01/02/2021 tarihli, 2019/11 E. sayılı) belirtildiği üzere, bazı AYM üyeleri Yargıda Birlik Platformu sürecinde hâkim/savcıların fişlenmesinde rol almış, güvenlik temelli politikaları destekleyen beyanlarda bulunmuştur.</w:t>
      </w:r>
      <w:r w:rsidRPr="00492203">
        <w:rPr>
          <w:rStyle w:val="DipnotBavurusu"/>
          <w:rFonts w:ascii="Arial Narrow" w:eastAsia="Times New Roman" w:hAnsi="Arial Narrow" w:cs="Times New Roman"/>
          <w:szCs w:val="24"/>
          <w:lang w:val="tr-TR"/>
        </w:rPr>
        <w:footnoteReference w:id="8"/>
      </w:r>
    </w:p>
    <w:p w14:paraId="5D8925EA"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Tüm bu değişiklikler ve uygulamalar, başvurucunun bireysel başvuru süreci dahil “kanunla kurulmuş, bağımsız ve tarafsız mahkeme” hakkının açık ihlalini oluşturmaktadır.</w:t>
      </w:r>
    </w:p>
    <w:p w14:paraId="71806DAD"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 m.6 – Adil yargılanma hakkı ihlal edilmiştir.</w:t>
      </w:r>
    </w:p>
    <w:p w14:paraId="66FC86B9"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ByLock verisinin elde edilmesi ve saklanması aşamasında, adli bilişimin temel kurallarına (veri bütünlüğünün korunması, elde edildikten sonra zincirleme muhafaza, doğrulanabilirlik) uyulmamıştır. MİT’in bu verilerin “özel yollarla” elde edildiğine dair açıklaması, verinin kaynağı ve bütünlüğü üzerinde haklı ve şu ana kadar giderilemeyen bir şüphe doğurmuştur. Bu durumda güvenilir ve yargısal denetime elverişli bir delilden söz edilemez. Nitekim Yalçınkaya kararında tespit edildiği üzere, veriler toplandıktan aylar sonra Sulh Ceza Hâkimliğinden karar alınmıştır. Ayrıca dosyalara giren içeriklerin önemli bir kısmının 2019-2020 sonrası ortaya çıkması, sonradan ekleme ve manipülasyon ihtimalini de güçlendirmektedir. Bu şartlarda, ByLock verisinin ihraca (veya herhangi bir yaptırıma) esas alınması mümkün değildir. Kaldı ki CMK m.134 uyarınca hâkim kararı olmadan dijital verilerin elde edilmesi hukuka aykırıdır ve ceza yargılamasında kullanılamaz.</w:t>
      </w:r>
    </w:p>
    <w:p w14:paraId="00C9513C"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lastRenderedPageBreak/>
        <w:t>Hukuka aykırı delilin hükme esas alınmaması, yalnız ceza yargısı için değil, disiplin/idari yaptırımlar için de geçerlidir. Anayasa Mahkemesi, Anayasa m.38/6’nın disiplin alanında da geçerli olduğunu açıkça belirtmiştir (Bkz. 04.04.1991 tarihli E.1990/12 sayılı ve 13.07.2016 tarihli B.No: 2014/7738 saylı kararlar). Danıştay 12. Dairesi’nin 30.05.2017 tarihli (E.2016/7260) kararı da disiplin hukukunda “şüpheden sanık yararlanır” ilkesini ve “kesin/inandırıcı delil” gerekliliğini teyit etmektedir.</w:t>
      </w:r>
    </w:p>
    <w:p w14:paraId="463E1F19"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AİHM de 16.02.2021 tarihli Budak/Türkiye (B.No:69762/12) kararında AİHS m.53 uyarınca ulusal hukukun tanıdığı daha yüksek güvencelere aykırılığın, m.8 ve m.6 bağlamında ihlale yol açabileceğini vurgulamıştır. Ulusal hukuk (Anayasa m.38/6; CMK m.206/2-a, m.217/2, m.289/1-i) açıkken, hâkim kararı olmadan toplanmış ve bütünlüğünün korunduğu ispatlanmamış ByLock verisine dayanılarak tesis edilen ihraç işlemleri, hukuka aykırı delilin dışlanması kuralına aykırıdır. Bu nedenlerle, hâkim kararı olmaksızın elde edilmiş, kaynağı ve bütünlüğü doğrulanmamış ByLock verisi disiplin/ihraç işlemlerinde delil olarak kullanılamaz.</w:t>
      </w:r>
    </w:p>
    <w:p w14:paraId="583BD3AE"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 m.6 §2 – Masumiyet karinesi ihlal edilmiştir.</w:t>
      </w:r>
    </w:p>
    <w:p w14:paraId="0A34981A"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Başvurucunun ismi, AYM’nin de (E.2018/81, 24.06.2021) suçlayıcı içerikli olduğunu kabul ettiği 667 s. KHK m.3’e dayanılarak, HS(Y)K kararına ekli listede “terör örgütüyle irtibatlı/iltisaklı” olarak yayımlanmıştır. Bu durum, anayasal düzeyde korunan masumiyet karinesini ihlal etmiştir (m.15/2). AYM ise N.E. kararında bu iddiayı incelememiştir (§§ 98-152). HS(Y)K kararında, henüz dava açılmamış kişiler hakkında kesin hüküm niteliğinde ifadelere yer verilmiştir. Karar ve ekindeki isimler resmi internet sitesinde yayımlanmış, ardından basında yoğun biçimde suçlayıcı haberler yapılmıştır. Kamu makamlarının özen yükümlülüğünü yerine getirmemeleri sonucunda başvurucu, terör örgütü üyeliği isnadıyla kamuoyu önünde zan altında bırakılmıştır.</w:t>
      </w:r>
    </w:p>
    <w:p w14:paraId="1EBBC16A"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 m.7 – Suç ve cezaların kanuniliği ilkesi ihlal edilmiştir.</w:t>
      </w:r>
    </w:p>
    <w:p w14:paraId="23F7BA2E"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 xml:space="preserve">AİHS m.7’nin koruduğu “suç ve cezaların kanuniliği” ilkesi, yalnızca ceza kanunlarında yazılı suç tipleriyle sınırlı bir güvence değildir. Devletin bir kimseye isnat ettiği fiilleri, süresiz kamu hizmetinden yasaklama gibi cezalandırıcı nitelikte sonuçlara bağlarken başvuracağı kuralların da erişilebilir, öngörülebilir ve keyfî yoruma kapalı olması gerekir. Kamu görevinden çıkarma işlemleri, idare ve AYM tarafından her ne kadar “idari/olağanüstü tedbir” olarak nitelendirilmiş olsa da mahiyeti (ömür boyu kamu hizmetlerinden men, fiilen özel sektörde çalışamama, kişisel itibara ağır darbe) ve isnadın niteliği (terör örgütü ile bağlantı </w:t>
      </w:r>
      <w:r w:rsidRPr="00492203">
        <w:rPr>
          <w:rFonts w:ascii="Arial Narrow" w:hAnsi="Arial Narrow" w:cs="Times New Roman"/>
          <w:szCs w:val="24"/>
          <w:lang w:val="tr-TR"/>
        </w:rPr>
        <w:lastRenderedPageBreak/>
        <w:t xml:space="preserve">ya da aidiyet) itibarıyla cezalandırıcı sonuç doğurmaktadır. Bu nedenle, AİHS m.7’nin aradığı nitelikte açık ve belirli bir yasal çerçeve olmaksızın uygulanması hukuken kabul edilemez. </w:t>
      </w:r>
    </w:p>
    <w:p w14:paraId="71AE32CD"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667 sayılı KHK m.3 ile ilk kez öngörülen “irtibat/iltisak” kavramlarının tanımı yapılmamış; kapsamı, unsurları ve ispat ölçütleri belirlenmemiş; hangi davranışların ne eşikte bu kavramların içine gireceği gösterilmemiştir. MGK kararlarına yapılan atıf da söz konusu boşluğu doldurmamaktadır. İdari mahiyetteki kararlarla, yargısal nitelikte suç ve ceza ihdas edilmesi mümkün değildir. Bu belirsizlik, idareye denetimsiz bir takdir alanı açmış; aynı nitelikteki olguların kişiler arasında seçmeci biçimde “örgüt iltisakı” sayılmasına yol açmıştır. AİHS m.7 uyarınca aleyhe genişletici yorum yasaktır; öngörülebilirliği bulunmayan muğlak ifadelerle kişilere ağır yaptırımlar yüklenmesi hukuken mümkün değildir.</w:t>
      </w:r>
    </w:p>
    <w:p w14:paraId="42DFD63D"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667 sayılı KHK 23/07/2016 tarihinde yürürlüğe girmiş olmasına rağmen, meslekten ihraç kararı bu tarihten önceki ve o dönem yasal/olağan kabul edilen ilişki ve faaliyetlere (HTS kayıtları, sosyal çevre ilişkileri, dernek üyeliği, banka işlemleri vb.) dayandırılmıştır. Bir kimsenin, işlendiği tarihte suç sayılmayan ve hatta hukuken güvence altında olan özgürlüklerin kullanımı niteliğindeki davranışları nedeniyle, sonradan ihdas edilen muğlak kavramlar üzerinden kamu görevinden ömür boyu yasaklanma yaptırımına maruz bırakılması, m.7’nin yasallık ve öngörülebilirlik gereklilikleriyle bağdaşmamaktadır.</w:t>
      </w:r>
    </w:p>
    <w:p w14:paraId="202AAE11"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Nitekim AİHM, yakın tarihli çok sayıda içtihadında (örneğin bkz. Yalçınkaya ve Taner Kılıç) “örgüt üyeliği/yardım” suçlamalarında belirlilik, öngörülebilirlik ve kanıtlama ölçütleri bakımından ciddi eksiklikler tespit etmiş; bankacılık işlemleri, eğitim faaliyetleri, dernek üyeliği, gazete aboneliği gibi başlı başına yasal faaliyetlerin otomatik olarak cezai sorumluluğa bağlanamayacağını vurgulamıştır. Aynı anlayış, idari işlem yoluyla uygulanan ancak cezalandırıcı etkisi tartışmasız olan meslekten çıkarma yaptırımı için de geçerlidir: “ByLock/HTS” iddiasının teknik temellendirme ve tarafsız bilirkişilikten yoksun biçimde kullanılması, “irtibat/iltisak”ın soyut tanık sözleri veya sosyal çevre bilgileriyle kurulması, grup aidiyeti üzerinden kolektif sorumluluk yüklenmesi, m.7’nin yasallık güvencesiyle bağdaşmamaktadır.</w:t>
      </w:r>
    </w:p>
    <w:p w14:paraId="206475BB"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 m. 8 - Özel hayata saygı hakkı ihlal edilmiştir.</w:t>
      </w:r>
    </w:p>
    <w:p w14:paraId="49053936"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Başvurucunun 667 sayılı KHK m.3’e dayanılarak meslekten çıkarılması, isminin RG’de yayımlanması ve “fişleme” ile sosyal çevre verilerinin önceden toplanıp kullanılması mesleki, ailevi ve diğer sosyal çevresinde şeref ve itibarını aşırı derecede zedelemiş; mesleki ilişkileri dahil geniş bir kitle ile olan sosyal ilişkilerini yitirmiş; kendisi ve ailesinin maddi refahı üzerinde yıkıcı sonuçlar doğurmuştur.</w:t>
      </w:r>
    </w:p>
    <w:p w14:paraId="6870A1E2"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lastRenderedPageBreak/>
        <w:t xml:space="preserve">Özel hayata müdahalenin AİHS’in 8. maddesine uygun kabul edilebilmesi için öncelikle bu </w:t>
      </w:r>
      <w:r w:rsidRPr="00492203">
        <w:rPr>
          <w:rFonts w:ascii="Arial Narrow" w:eastAsia="Times New Roman" w:hAnsi="Arial Narrow" w:cs="Times New Roman"/>
          <w:b/>
          <w:bCs/>
          <w:szCs w:val="24"/>
          <w:lang w:val="tr-TR"/>
        </w:rPr>
        <w:t>müdahalenin “yasayla öngörülmüş” olması</w:t>
      </w:r>
      <w:r w:rsidRPr="00492203">
        <w:rPr>
          <w:rFonts w:ascii="Arial Narrow" w:eastAsia="Times New Roman" w:hAnsi="Arial Narrow" w:cs="Times New Roman"/>
          <w:szCs w:val="24"/>
          <w:lang w:val="tr-TR"/>
        </w:rPr>
        <w:t xml:space="preserve"> </w:t>
      </w:r>
      <w:r w:rsidRPr="00492203">
        <w:rPr>
          <w:rFonts w:ascii="Arial Narrow" w:eastAsia="Times New Roman" w:hAnsi="Arial Narrow" w:cs="Times New Roman"/>
          <w:b/>
          <w:bCs/>
          <w:szCs w:val="24"/>
          <w:lang w:val="tr-TR"/>
        </w:rPr>
        <w:t>gerekir</w:t>
      </w:r>
      <w:r w:rsidRPr="00492203">
        <w:rPr>
          <w:rFonts w:ascii="Arial Narrow" w:eastAsia="Times New Roman" w:hAnsi="Arial Narrow" w:cs="Times New Roman"/>
          <w:szCs w:val="24"/>
          <w:lang w:val="tr-TR"/>
        </w:rPr>
        <w:t>. AİHM’e göre bu şart, yalnızca müdahalenin kanuni bir temelinin bulunmasını değil, aynı zamanda yasanın hukukun üstünlüğüne uygun, erişilebilir ve öngörülebilir olmasını da zorunlu kılar (Özpınar/Türkiye; N.F./İtalya).</w:t>
      </w:r>
    </w:p>
    <w:p w14:paraId="43FF5011"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Uluslararası metinlerde,</w:t>
      </w:r>
      <w:r w:rsidRPr="00492203">
        <w:rPr>
          <w:rStyle w:val="DipnotBavurusu"/>
          <w:rFonts w:ascii="Arial Narrow" w:eastAsia="Times New Roman" w:hAnsi="Arial Narrow" w:cs="Times New Roman"/>
          <w:szCs w:val="24"/>
          <w:lang w:val="tr-TR"/>
        </w:rPr>
        <w:footnoteReference w:id="9"/>
      </w:r>
      <w:r w:rsidRPr="00492203">
        <w:rPr>
          <w:rFonts w:ascii="Arial Narrow" w:eastAsia="Times New Roman" w:hAnsi="Arial Narrow" w:cs="Times New Roman"/>
          <w:szCs w:val="24"/>
          <w:lang w:val="tr-TR"/>
        </w:rPr>
        <w:t xml:space="preserve"> hâkimlik ve savcılık teminatı, mahkemelerin bağımsızlığının kilit unsuru olarak kabul edilmektedir. Buna göre, bir hâkim veya savcı, zorunlu emeklilik yaşına kadar görevden azledilemez, görevinden sürekli veya geçici olarak alınamaz; ancak kanunda açıkça öngörülmüş görevi kötüye kullanma veya mesleki yetersizlik halleri söz konusu olduğunda ve adil yargılanma güvencelerine uygun usuller işletilerek bu mümkün olabilir.</w:t>
      </w:r>
    </w:p>
    <w:p w14:paraId="34AF646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Hukukun üstünlüğü, AİHS’in tüm hükümlerinin temelinde yer almaktadır. Hukuk devleti ilkesinin hayata geçirilmesinin ön şartı olan yargı bağımsızlığı ise bu ilkenin vazgeçilmez unsurlarından birini oluşturmaktadır. Dolayısıyla, hâkimlik/savcılık teminatını zedeleyen ve yargı bağımsızlığına aykırı olan bir düzenleme, hukukun üstünlüğü ilkesine de aykırı olacak ve AİHS’in öngördüğü “kanunilik” koşulunu karşılamayacaktır.  Ayrıca, Venedik Komisyonu raporlarında da belirtildiği üzere, genel bir düzenleme gibi formüle edilse de gerçekte belirli kişileri hedef alan yasal düzenlemeler de hukukun üstünlüğü ilkesine aykırı kabul edilmektedir.</w:t>
      </w:r>
    </w:p>
    <w:p w14:paraId="47ABC784"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Öte yandan, temel hakları etkileyen konularda idareye sınırsız ve kontrolsüz takdir yetkisi tanınması hukukun üstünlüğü ilkesine aykırıdır. Dolayısıyla kanun, yetkili makamlara verilen takdir hakkının kapsamını, kullanım biçimini ve meşru amacını açık biçimde göstermeli, keyfi müdahalelere karşı yeterli güvenceler içermelidir (Al-Nashif/Bulgaristan; Amenn/İsviçre; Rotaru/Romanya; Klass ve diğerleri/Almanya; Ostrover/Moldova). Ulusal güvenlik söz konusu olduğunda dahi, kanunilik ve hukukun üstünlüğü ilkelerinin gözetilmesi zorunludur. </w:t>
      </w:r>
    </w:p>
    <w:p w14:paraId="2411F5B6"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Başvurucunun mesleğinden ihraç edilmesinin dayanağı, Bakanlar Kurulu tarafından kabul edilen 667 sayılı KHK’nın 3. maddesidir. Anılan hükümde, </w:t>
      </w:r>
      <w:r w:rsidRPr="00492203">
        <w:rPr>
          <w:rFonts w:ascii="Arial Narrow" w:eastAsia="Times New Roman" w:hAnsi="Arial Narrow" w:cs="Times New Roman"/>
          <w:i/>
          <w:iCs/>
          <w:szCs w:val="24"/>
          <w:lang w:val="tr-TR"/>
        </w:rPr>
        <w:t xml:space="preserve">“terör örgütlerine veya Millî Güvenlik Kurulunca devletin millî güvenliğine karşı faaliyette bulunduğuna karar verilen yapı, oluşum veya gruplara üyeliği, mensubiyeti veya iltisakı yahut bunlarla irtibatı olduğu değerlendirilen … hâkim ve savcılar hakkında, Hâkimler ve Savcılar Yüksek Kurulu Genel </w:t>
      </w:r>
      <w:r w:rsidRPr="00492203">
        <w:rPr>
          <w:rFonts w:ascii="Arial Narrow" w:eastAsia="Times New Roman" w:hAnsi="Arial Narrow" w:cs="Times New Roman"/>
          <w:i/>
          <w:iCs/>
          <w:szCs w:val="24"/>
          <w:lang w:val="tr-TR"/>
        </w:rPr>
        <w:lastRenderedPageBreak/>
        <w:t>Kurulunca … meslekte kalmalarının uygun olmadığına ve meslekten çıkarılmalarına karar verileceği”</w:t>
      </w:r>
      <w:r w:rsidRPr="00492203">
        <w:rPr>
          <w:rFonts w:ascii="Arial Narrow" w:eastAsia="Times New Roman" w:hAnsi="Arial Narrow" w:cs="Times New Roman"/>
          <w:szCs w:val="24"/>
          <w:lang w:val="tr-TR"/>
        </w:rPr>
        <w:t xml:space="preserve"> düzenlenmiştir. </w:t>
      </w:r>
      <w:r w:rsidRPr="00492203">
        <w:rPr>
          <w:rFonts w:ascii="Arial Narrow" w:eastAsia="Times New Roman" w:hAnsi="Arial Narrow" w:cs="Times New Roman"/>
          <w:szCs w:val="24"/>
          <w:lang w:val="tr-TR" w:eastAsia="tr-TR"/>
        </w:rPr>
        <w:t>Bu hükme dayanılarak, HS(Y)K Genel Kurulu’nun 24.08.2016 tarihli kararı ile başvurucunun “FETÖ/PDY ile iltisaklı ve irtibatlı” olduğunun sabit görüldüğü belirtilmiş ve başvurucu mesleğinden çıkarılmıştır.</w:t>
      </w:r>
    </w:p>
    <w:p w14:paraId="600C0A07"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Söz konusu maddede, takdir yetkisinin kapsamı ve kullanım tarzı gösterilmemekte; HS(Y)K Genel Kuruluna dizginsiz, şeffaf olmayan ve kontrolsüz bir yetki verilmektedir. Kararnamenin 3. maddesi ile, hâkim/savcıların “DEĞERLENDİRME” düzeyindeki ölçütlerle meslekten çıkarılmalarına izin verilmiştir. Ancak bu değerlendirmelerin dayanması gereken delillere ilişkin ölçüt ve koşulları belirlemeyerek HS(Y)K’ya olağanüstü ve bir hukuk devletinde kabulü mümkün olmayan geniş bir takdir yetkisi tanınmıştır. Söz konusu KHK’nın 9. Maddesinde, KHK kapsamında karar alan ve görevleri yerine getiren kişilerin bu görevleri sebebiyle hukuki, idari, mali ve cezai sorumluluklarının da doğmayacağı düzenlenmiştir. Bu madde kendisini takdir hakkı verilenleri sınırsız bir şekilde denetimsiz bırakarak keyfilik potansiyelini en üst düzeye çıkarmaktadır. Nitekim Venedik Komisyonu da bu sorumsuzluğun KHK’ların suç teşkil edebilecek bazı eylemlere doğrudan izin ve emir verdiğini veya en azından görevlerini yerine getirirken suç işleyenlerin cezalandırılmayacağını ima ettiğini belirterek bu düzenlemenin kaldırılmasını talep etmiştir.</w:t>
      </w:r>
    </w:p>
    <w:p w14:paraId="48E99040"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Bu çerçevede, temel haklara müdahale eden tedbirlerin, gerektiğinde gizli bilgilerin kullanımındaki usulü sınırlamalar da dâhil olmak üzere, bağımsız bir organ önünde çekişmeli usullere tabi olarak incelenmesi gerekir. İlgili kişi, ulusal güvenliğin gerçekten söz konusu olup olmadığını sorgulayabilmelidir. Her ne kadar idarenin ulusal güvenliğe dair değerlendirmesi özel bir ağırlığa sahip olsa da bağımsız makam, olaylarda makul bir temel bulunmadığında veya yorumun hukuksuz, keyfi ve ortak anlayışa aykırı olduğu durumlarda müdahale edebilmelidir (Al-Nashif/Bulgaristan). Bu yaklaşım N.F./İtalya kararında somutlaşmıştır. AİHM, bir hâkime mason locasına üyeliği nedeniyle disiplin cezası öngören idari düzenlemenin, yargısal görevlerin gereği gibi yerine getirilmesi yükümlülüğü ile bağdaşmayacağını öngörülebilir kılmadığını belirtmiştir. Bu nedenle, disiplin sürecinin işletilmesi ve uyarma cezası verilmesi, “yasayla öngörülme” koşulunu karşılamamış ve AİHS’in 11. maddesinin ihlali sonucunu doğurmuştur.</w:t>
      </w:r>
    </w:p>
    <w:p w14:paraId="434FBBB2"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HS(Y)K Genel Kurulu, gerekçeli kararında da belirtildiği üzere, başvurucu dâhil tüm hâkim ve savcıların mesleğe kabullerinden karar tarihine kadar geçen süredeki özel ve meslekî yaşamlarındaki faaliyetlerini, sosyal çevreleriyle ilişkilerini ve meslekî kariyerlerini değerlendirmeye almıştır. Ancak başvurucu, 15 Temmuz 2016 tarihinden hemen sonra gözaltına alınmış ve tutuklanmıştır. Dolayısıyla, meslekten çıkarma kararında, </w:t>
      </w:r>
      <w:r w:rsidRPr="00492203">
        <w:rPr>
          <w:rFonts w:ascii="Arial Narrow" w:eastAsia="Times New Roman" w:hAnsi="Arial Narrow" w:cs="Times New Roman"/>
          <w:szCs w:val="24"/>
          <w:lang w:val="tr-TR" w:eastAsia="tr-TR"/>
        </w:rPr>
        <w:lastRenderedPageBreak/>
        <w:t>başvurucunun 15 Temmuz sonrasındaki herhangi bir faaliyeti veya sosyal ilişkisinin dikkate alınmış olması mümkün değildir. Bu durum, HS(Y)K kararının dayanağını oluşturan 667 sayılı KHK’nın 3. maddesinin, geçmişe dönük olası eylem ve ilişkilere dayanarak sonuç doğurduğunu göstermektedir. Oysa, kanunların geçmişe etkili olmaması, hukuk devletinde yasaların sahip olması gereken temel bir ilkedir. Bu nedenle 667 sayılı KHK’nın 3. maddesi, geriye yürür biçimde sonuç doğurması nedeniyle de hukuk devleti ve hukukun üstünlüğü prensiplerine aykırıdır.</w:t>
      </w:r>
    </w:p>
    <w:p w14:paraId="64E06A56"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AİHS’in 8. maddesinde düzenlenen hakka müdahaleye imkân veren </w:t>
      </w:r>
      <w:r w:rsidRPr="00492203">
        <w:rPr>
          <w:rFonts w:ascii="Arial Narrow" w:eastAsia="Times New Roman" w:hAnsi="Arial Narrow" w:cs="Times New Roman"/>
          <w:b/>
          <w:bCs/>
          <w:szCs w:val="24"/>
          <w:lang w:val="tr-TR" w:eastAsia="tr-TR"/>
        </w:rPr>
        <w:t>bir düzenlemenin taşıması gereken temel koşullardan biri de “erişilebilirlik”tir</w:t>
      </w:r>
      <w:r w:rsidRPr="00492203">
        <w:rPr>
          <w:rFonts w:ascii="Arial Narrow" w:eastAsia="Times New Roman" w:hAnsi="Arial Narrow" w:cs="Times New Roman"/>
          <w:szCs w:val="24"/>
          <w:lang w:val="tr-TR" w:eastAsia="tr-TR"/>
        </w:rPr>
        <w:t>. Erişilebilirlik, kişinin belirli bir davranışta bulunduğu veya sosyal bir ilişki kurduğu anda, bu davranış ya da ilişkilerin hangi sonuçlara yol açacağını ve hangi yaptırımlara bağlandığını gösteren hukuk kuralları hakkında yeterli bilgiye sahip olabilmesini ya da bu kuralları öğrenebilecek durumda bulunmasını ifade eder. Başka bir deyişle, bireylerin eylem ve ilişkilerinin sonuçlarını öngörebilmelerini sağlayacak hukuk kurallarına açık ve anlaşılır bir şekilde ulaşabilmeleri gerekir.</w:t>
      </w:r>
    </w:p>
    <w:p w14:paraId="105C5ACF"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Bakanlar Kurulu tarafından kabul edildiği 23 Temmuz 2016 tarihinden önceki döneme dair, suç teşkil etmeyen eylem ve ilişkilerden sonuç çıkarmaya matuf geçmişe etkili 667 sayılı KHK’nın 3. maddesi bu haliyle “erişilebilirlik” kriterini taşımamaktadır. Bu maddenin, erişilebilir bir yasal düzenleme olup olmadığı değerlendirilirken, Türkiye’de herhangi bir dini ya da siyasi grup veya oluşum ile irtibatlı ya da iltisaklı olmanın 23 Temmuz 2016 tarihinden önce (şu an dahil) yaptırım gerektiren bir eylem olarak düzenlenmediği dikkate alınmalıdır.</w:t>
      </w:r>
      <w:r w:rsidRPr="00492203">
        <w:rPr>
          <w:rFonts w:ascii="Arial Narrow" w:hAnsi="Arial Narrow" w:cs="Times New Roman"/>
          <w:szCs w:val="24"/>
          <w:lang w:val="tr-TR"/>
        </w:rPr>
        <w:t xml:space="preserve"> </w:t>
      </w:r>
      <w:r w:rsidRPr="00492203">
        <w:rPr>
          <w:rFonts w:ascii="Arial Narrow" w:eastAsia="Times New Roman" w:hAnsi="Arial Narrow" w:cs="Times New Roman"/>
          <w:szCs w:val="24"/>
          <w:lang w:val="tr-TR" w:eastAsia="tr-TR"/>
        </w:rPr>
        <w:t>Ayrıca, böyle bir durumun yargının güvenilirliği ve saygınlığını korumak bakımından meslekten çıkarılmayı gerektirdiğine dair ne herhangi bir yargı kararı ne de yerleşik bir idari uygulama mevcuttu. HS(Y)K Genel Kurulu kararlarında atıf yapılan MGK kararları ise, gizli nitelikte olup yalnızca Bakanlar Kurulu’na yönelik tavsiye mahiyetindedir. Bu kararlar, Bakanlar Kurulu tarafından erişilebilir ve bağlayıcı bir düzenleyici işleme dönüştürülmediği gibi, yaptırım gerektiren bir durum olarak da düzenlenmemiştir. Aynı şekilde, HS(Y)K tarafından da bu konuda hiçbir dönemde kamuya açık bir açıklama yapılmamış ve düzenleyici bir işlem ihdas edilmemiştir.</w:t>
      </w:r>
    </w:p>
    <w:p w14:paraId="42146A73"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AİHS m. 8’de düzenlenen hakka müdahaleye imkân veren </w:t>
      </w:r>
      <w:r w:rsidRPr="00492203">
        <w:rPr>
          <w:rFonts w:ascii="Arial Narrow" w:eastAsia="Times New Roman" w:hAnsi="Arial Narrow" w:cs="Times New Roman"/>
          <w:b/>
          <w:bCs/>
          <w:szCs w:val="24"/>
          <w:lang w:val="tr-TR" w:eastAsia="tr-TR"/>
        </w:rPr>
        <w:t>bir düzenlemenin taşıması gereken temel koşullardan bir diğeri ise “öngörülebilirlik”tir</w:t>
      </w:r>
      <w:r w:rsidRPr="00492203">
        <w:rPr>
          <w:rFonts w:ascii="Arial Narrow" w:eastAsia="Times New Roman" w:hAnsi="Arial Narrow" w:cs="Times New Roman"/>
          <w:szCs w:val="24"/>
          <w:lang w:val="tr-TR" w:eastAsia="tr-TR"/>
        </w:rPr>
        <w:t xml:space="preserve">. “Erişilebilir” bir düzenleme yokluğunda o düzenlemenin “öngörülebilir” olup olmadığı değerlendirmesine gerek yoktur. Öngörülebilir olması ile kastedilen, düzenlemenin, ilgili şahsa davranışlarını düzenleme ve </w:t>
      </w:r>
      <w:r w:rsidRPr="00492203">
        <w:rPr>
          <w:rFonts w:ascii="Arial Narrow" w:eastAsia="Times New Roman" w:hAnsi="Arial Narrow" w:cs="Times New Roman"/>
          <w:szCs w:val="24"/>
          <w:lang w:val="tr-TR" w:eastAsia="tr-TR"/>
        </w:rPr>
        <w:lastRenderedPageBreak/>
        <w:t xml:space="preserve">sonuçlarını öngörebilmesine elverişli açıklık ve kesinlikte formüle edilmiş olmasıdır </w:t>
      </w:r>
      <w:r w:rsidRPr="00492203">
        <w:rPr>
          <w:rFonts w:ascii="Arial Narrow" w:eastAsia="Times New Roman" w:hAnsi="Arial Narrow" w:cs="Times New Roman"/>
          <w:szCs w:val="24"/>
          <w:lang w:val="tr-TR"/>
        </w:rPr>
        <w:t>(Sunday Times/Birleşik Krallık)</w:t>
      </w:r>
      <w:r w:rsidRPr="00492203">
        <w:rPr>
          <w:rFonts w:ascii="Arial Narrow" w:eastAsia="Times New Roman" w:hAnsi="Arial Narrow" w:cs="Times New Roman"/>
          <w:szCs w:val="24"/>
          <w:lang w:val="tr-TR" w:eastAsia="tr-TR"/>
        </w:rPr>
        <w:t>.</w:t>
      </w:r>
    </w:p>
    <w:p w14:paraId="2444A0E9"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Ancak, bir an için 667 sayılı KHK’nın ‘erişilebilir’ olduğu kabul edildiğinde bile, bu düzenleme AİHM içtihatları uyarınca öngörülebilir nitelikte değildir. Zira öncelikle, söz konusu madde kişilere, davranışları düzenlemelerine ve sonuçlarını öngörebilmelerine elverişli kesinlikte formüle edilmiş değildir. İstihbari birer kavram olan ve Türk hukuk sistemine ilk kez 667 sayılı ve müteakip KHK’lar ile giren “iltisak ve irtibat” kavramlarının anlamları belirsiz olup bu kavramların kapsamını belirten yargı kararı dahi bulunmamaktaydı. Kişilerin ne tür davranış ya da sosyal ilişkilerinin ve hangi döneme, ne ölçüde uzak geçmişine dair veya hangi ilişki seviyesinden sonraki davranış ya da ilişkilerinin hangi objektif ölçütlere göre bu kavramların kapsamında değerlendirileceği ne KHK’da ne de başka bir mevzuatta ya da yargı içtihatlarında belirlenmemişti. Bu nedenle, başvurucunun çevresiyle sosyal ilişkilerini sürdürdüğü sırada, ileride mevzuata eklenecek içeriği belirsiz bu kavramlarla meslekten çıkarılabileceğini öngörebilmesi mümkün değildi. </w:t>
      </w:r>
    </w:p>
    <w:p w14:paraId="77DDCA0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AYM ve Danıştay, söz konusu kavramların yeterli hukuki belirlilik taşıdığını ileri sürmüştür. Ancak bu kabul, KHK ile getirildikten yıllar sonra yalnızca Türk Dil Kurumu sözlüğünden yapılan alıntılarla açıklanmaya çalışılmış, bunun ötesinde herhangi bir gerekçe ortaya konulmamıştır. Bu kavramların ne önceki yargı kararlarında yer aldığı ne de sonradan mahkeme içtihatlarıyla somutlaştırıldığı söylenebilir. Nitekim aynı kurum ve kişilerle geçmişte yoğun ilişkileri bulunan hükümet yanlısı kişiler (ör. çocuklarını Cemaat okullarına gönderen hâkim/savcılar) hakkında bu tür “deliller”in hiç kullanılmaması, normun belirsizliği nedeniyle keyfî yoruma ve seçmeci uygulamaya ne derece açık olduğunun göstergesidir. Sonuç olarak düzenleme, öngörülebilirlik ve hukukî güvenlik gereklerini karşılamayan, keyfiliğe açık bir çerçeve çizmektedir. Venedik Komisyonu raporlarında da belirtildiği gibi, özellikle yargı bağımsızlığının korunması ve hukuki güvenlik açısından disiplin sorumluluğu gerektiren hallerin kesinliği ve öngörülebilirliği gerekir.</w:t>
      </w:r>
    </w:p>
    <w:p w14:paraId="129C8860"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Başvurucu bir yargı mensubu olarak Anayasanın 139. maddesinde düzenlenen “hakimlik teminatının” koruması altında bulunmaktaydı. Görevden uzaklaştırma da dahil hâkim ve savcılar hakkında disiplin cezası verilmesine dair usulü teminatlar 2802 sayılı Kanunun 62 ila 76. maddelerinde düzenlenmiştir. Meslekten çıkarılmasının dayanağını oluşturan 667 sayılı KHK’da, 3. madde uyarınca meslekten çıkarma tedbirinin uygulanması bakımından HS(Y)K Genel Kurulu yetkilendirilmiş ancak bu karar alma sürecinde izlenecek usulle ilgili herhangi bir düzenlemeye yer verilmemiştir. HS(Y)K tarafından temel usulî güvenceler tanınmadan başvurucu hakkında meslekten çıkarılma yaptırımı uygulanmıştır. </w:t>
      </w:r>
    </w:p>
    <w:p w14:paraId="1A287AE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lastRenderedPageBreak/>
        <w:t>Bu sebeplerle, kişisel itibarı da dahil, başvurucunun özel yaşamına en ağır şekilde müdahale teşkil eden, dolayısıyla tüm mali ve özlük haklarından mahrumiyetine ve ağır manevi zarara uğramasına neden olan meslekten çıkarılmasının dayanağını oluşturan 667 sayılı KHK’nın 3. maddesi, AİHS’in 8/2 maddesinde özel yaşam hakkına müdahaleye imkân veren bir yasanın taşıması gereken erişilebilirlik, öngörülebilirlik ve hukukun üstünlüğüne uyumlu olma kriterlerini taşımamaktadır. Dolayısıyla, müdahaleye dolayısıyla meslekten çıkarmaya dayanak bir kanunî düzenleme olarak kabul edilemez.</w:t>
      </w:r>
    </w:p>
    <w:p w14:paraId="1DFFDA52"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Mesleki ya da özel yaşamına ait kişisel veri niteliğindeki fişleme bilgilerin, hakkında herhangi bir disiplin soruşturması olmaksızın toplanması, depolanması ve kullanılmasına ilişkin HS(Y)K’ya kanunla verilen bir yetki ve görev bulunmamaktadır. Bu nedenle, HS(Y)K tarafından özel yaşama müdahale teşkil eden bu işlemler de kanunla öngörülme kuralına aykırılık teşkil etmektedir. HS(Y)K’ya kanunlarla verilen hâkim/savcıların özlük hakları ile ilgili karar alma yetkilerinin hâkim/savcılara ilişkin doğruluğu teyit edilmeyen her türlü bilgiyi toplama ve gizli dosyalarda arşivleme ve keyfilik riski içerecek şekilde, aksini kanıtlama imkânı sunmaksızın kullanma yetkisi verdiği biçimde yorumlanamaz. Bu konularda verilecek yetkilerin kullanımına ilişkin takdir yetkisinin kapsamı ve kullanım tarzı yeterince açık biçimde gösterilmelidir (Rotoru/Romanya; Molone/Birleşik Krallık kararı). Bu bağlamda mevzuatın, hangi bilgilerin hangi usulde toplanacağını da belirtmesi gerekmektedir. Bu haliyle gerek 667 sayılı KHK’da gerekse de HS(Y)K’nın yetkilerini düzenleyen mevzuatta HS(Y)K’ya verilen takdir yetkisinin kullanımının kapsamı ve biçimi ile ilgili makul açıklıkta bir kanuni düzenleme bulunmamaktadır. Bu çerçevede, HS(Y)K kararının dayanağını oluşturan sosyal çevre bilgisi ya da mahallinde yapılan araştırmaların ne şekilde ve hangi ölçülere göre elde edileceği belli olmadığı gibi, HS(Y)K’nın bunları toplama ve depolama yetkisi de yoktur. Bu nedenlerle, ihraç kararına dayanak yapılan doğruluğu teyid edilmeyen bilgileri sistematik olarak derleyip HS(Y)K’nın ihraç kararına şeffaf olmayan biçimde dayanak yapması, başvurucunun özel yaşamıma bir müdahale oluşturmakta olup bu müdahalenin kanuni dayanağı bulunmamaktadır.  Bu bağlamda belirtmek gerekir ki, 2802 sayılı Kanunun 58-60. maddeleri arasında, açık ve gizli sicil dosyalarında nelerin tutulacağı açıkça sayılmıştır. Bu bilgiler dışında bilgi ve belgelerin HS(Y)K tarafından derlenmesi yasal olarak mümkün değildir.</w:t>
      </w:r>
    </w:p>
    <w:p w14:paraId="7B672C90"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Başvurucunun meslekten çıkarılmasına dair kararının Resmî Gazete’de yayımlanmasının dayanağını 670 ve 673 sayılı KHK’ların ilgili hükümleri oluşturmaktadır. HS(Y)K Genel Kurulu söz konusu kararı, ekinde yer alan listeyle birlikte yayımlamıştır. 667 sayılı KHK’nın 3. maddesinin, hukukun üstünlüğü, dolayısıyla AİHS’in 8. maddesi anlamında “kanunla öngörülme” şartını taşıyan bir düzenleme olmadığına dair yukarıda belirtilen </w:t>
      </w:r>
      <w:r w:rsidRPr="00492203">
        <w:rPr>
          <w:rFonts w:ascii="Arial Narrow" w:eastAsia="Times New Roman" w:hAnsi="Arial Narrow" w:cs="Times New Roman"/>
          <w:szCs w:val="24"/>
          <w:lang w:val="tr-TR" w:eastAsia="tr-TR"/>
        </w:rPr>
        <w:lastRenderedPageBreak/>
        <w:t xml:space="preserve">argümanlar ışığında, kararın başvurucunun ismine listede yer vererek Resmî Gazetede yayınlanmasına dair bu düzenlemeler de ilave güvenceler öngörmediğinden hukukun üstünlüğüne aykırıdır. Nitekim HS(Y)K’ya tanınan denetimsiz ve kontrolsüz, aynı zamanda her türlü sorumluluğu ortadan kaldıran yetkisini (667 sayılı KHK m.9) kullanması suretiyle hazırlanan meslekten çıkarma kararı, başvurucu da dahil listede isimleri yer alanları karalayıcı içerikli kaleme alınmış ve tüm muhatapların sürekli biçimde terörist ya da başka bir terör örgütü ile irtibatlı olarak damgalanmaları sonucunu doğurmuştur. Bu nedenle, hukukun üstünlüğü ilkesine açıkça aykırı bu düzenlemeler Resmî Gazete’de afişe edilmek ve damgalanmak suretiyle itibar hakkına müdahale edilmesine imkân tanıdığından AİHS’in 8. maddesi anlamında bir “kanun” niteliği taşımamaktadır. </w:t>
      </w:r>
    </w:p>
    <w:p w14:paraId="40259A0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Başvurucunun özel hayatına yapılan </w:t>
      </w:r>
      <w:r w:rsidRPr="00492203">
        <w:rPr>
          <w:rFonts w:ascii="Arial Narrow" w:eastAsia="Times New Roman" w:hAnsi="Arial Narrow" w:cs="Times New Roman"/>
          <w:b/>
          <w:bCs/>
          <w:szCs w:val="24"/>
          <w:lang w:val="tr-TR" w:eastAsia="tr-TR"/>
        </w:rPr>
        <w:t>müdahalelerin meşru bir amacı da bulunmamaktadır.</w:t>
      </w:r>
      <w:r w:rsidRPr="00492203">
        <w:rPr>
          <w:rFonts w:ascii="Arial Narrow" w:eastAsia="Times New Roman" w:hAnsi="Arial Narrow" w:cs="Times New Roman"/>
          <w:szCs w:val="24"/>
          <w:lang w:val="tr-TR" w:eastAsia="tr-TR"/>
        </w:rPr>
        <w:t xml:space="preserve"> HS(Y)K Genel Kurulu’nun meslekten çıkarma kararının son kısmında, meslekten çıkarma amacının “yargının bağımsızlığı ve tarafsızlığını sağlamak” olduğu belirtilmiştir. Her şeyden önce AİHS’in 8.  maddesinde, 10. maddeden farklı olarak, özel yaşama müdahaleye imkân veren, bu müdahaleyi meşru kılan böyle bir meşru amaca yer verilmemiştir. Venedik Komisyonu raporlarında belirtildiği gibi, siyasi sebeplerle ya da siyasi motifli görevden almalar, caydırıcı etki oluşturma potansiyeli nedeniyle yargının bağımsızlığına gerçek bir tehdit oluşturmaktadır.</w:t>
      </w:r>
    </w:p>
    <w:p w14:paraId="7D92F959"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Başvurucuya atfedilen soyut irtibat ve iltisak iddiasının yargı mensubunun sadakat yükümlülüğüne aykırı olduğu iddia edilmiştir. Oysaki AİHM, yargı mensuplarının sadakat yükümlülüğünü değerlendirirken, bu yükümlülüğün yürütme erkine değil, hukukun üstünlüğüne ve demokratik düzene bağlılık şeklinde anlaşılması gerektiğini vurgulamaktadır. Bilgin v. Türkiye (B.No: 1571/07, 09/03/2021, § 79) kararında, yürütmeye hiyerarşik olarak bağlı memurlara ilişkin içtihatların yargı mensuplarına uygulanamayacağı belirtilmiştir. AİHM’e göre, devlet memurları için sadakat, hükümet politikalarını uygulama yükümlülüğüne dayanırken, yargı mensupları hükümetin yanlış davranışlarını ve yetki kötüye kullanımını denetleme gibi bağımsız bir rol oynar. Bu nedenle, yargı mensuplarının sadakat yükümlülüğü, hukukun üstünlüğüne ve demokrasiye bağlılık olarak yorumlanmalıdır.</w:t>
      </w:r>
    </w:p>
    <w:p w14:paraId="0A74C060"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Başvurucunun ByLock kullanıcısı olması iddiası sadakat yükümlülüğüne aykırılık teşkil etmeyecektir. Hükümete göre bu program sadece cemaat üyeleri tarafından kullanılmaktadır. Bu noktada AİHM, ByLock kullanımının </w:t>
      </w:r>
      <w:r w:rsidRPr="00492203">
        <w:rPr>
          <w:rFonts w:ascii="Arial Narrow" w:eastAsia="Times New Roman" w:hAnsi="Arial Narrow" w:cs="Times New Roman"/>
          <w:i/>
          <w:iCs/>
          <w:szCs w:val="24"/>
          <w:lang w:val="tr-TR"/>
        </w:rPr>
        <w:t>prima facie</w:t>
      </w:r>
      <w:r w:rsidRPr="00492203">
        <w:rPr>
          <w:rFonts w:ascii="Arial Narrow" w:eastAsia="Times New Roman" w:hAnsi="Arial Narrow" w:cs="Times New Roman"/>
          <w:szCs w:val="24"/>
          <w:lang w:val="tr-TR"/>
        </w:rPr>
        <w:t xml:space="preserve"> (ilk bakışta) Gülen Hareketi ile bir tür bağlantıya işaret edebileceğini belirtmiştir (Yalçınkaya, § 259). Mesaj içerikleri ve bağlamları (Akgün, §173) incelenmeden, otomatik bir sadakate aykırılık karinesi oluşturmak (Yalçınkaya, mutadis mutandis, §§ 255-272) varmak hukuka aykırıdır. </w:t>
      </w:r>
      <w:r w:rsidRPr="00492203">
        <w:rPr>
          <w:rFonts w:ascii="Arial Narrow" w:eastAsia="Times New Roman" w:hAnsi="Arial Narrow" w:cs="Times New Roman"/>
          <w:szCs w:val="24"/>
          <w:lang w:val="tr-TR"/>
        </w:rPr>
        <w:lastRenderedPageBreak/>
        <w:t>Başvurucunun ihracı anında ByLock programında paylaşılan hâkimin bağımsız ve tarafsızlığına ya da sadakat yükümlülüğüne aykırılık teşkil eden bir bilgi bulunmadığı gibi sonradan da böyle bir veri dosyaya girmemiştir.</w:t>
      </w:r>
    </w:p>
    <w:p w14:paraId="3C04CBDD"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Diğer taraftan, 15 Temmuz sonrası toplu meslekten çıkarmaların asıl amacının, bir sosyal gruba (Cemaate) mensup olduğu düşünülenlerin kamudan tasfiyesi olduğu açıktır. Cumhurbaşkanı, Adalet Bakanı ve HS(Y)K başkanvekili gibi en üst düzey yetkililer tarafından bu amacı açıkça belli eden beyanlarda bulunulmuştur. Oysaki herhangi bir sosyal veya dini topluluk içinde yer almak, yalnızca bir kimlik aidiyetinin göstergesidir. Söz konusu topluluk içinde suç işleyen kişilerin bulunduğunun kabul edilmesinin, tüm topluluk mensuplarına kolektif sorumluluk yüklenmesini haklı kılmayacağı açıktır. Böyle bir yaklaşım, kimliğe dayalı tasfiyelere kapı aralayacak ve Sözleşme’nin sağladığı korumaları anlamsız hale getirecektir. Dolayısıyla başvurucunun yalnızca varsayılan bir aidiyete dayalı olarak kamu görevinden çıkarılmasını meşru bir amaç olarak kabul etmek mümkün değildir.</w:t>
      </w:r>
    </w:p>
    <w:p w14:paraId="1F0D9E7A"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Başvurucu, tüm mesleki yaşamı boyunca başarılı bir kariyere sahip olmuş, en iyi derecelerle terfi etmiştir. Özel ve mesleki yaşamında, yargının bağımsızlığı ve tarafsızlığını ihlal edecek şekilde hareket ettiğine dair ne dışa yansıyan bir eylem ya da söylemi olmuştur. Hakkında herhangi bir disiplin ya da ceza soruşturması yürütülmemiştir. Buna rağmen, HS(Y)K Genel Kurulunun sübjektif ve teyit edilmemiş, aksini ispat imkânı verilmeyen bilgilere dayalı olarak yargının bağımsızlığını ve tarafsızlığını sağlamak gerekçesiyle meslekten çıkarılmıştır. Bu amaçla, kişisel veri niteliğindeki bilgileri, sistematik biçimde toplanmış ve meslekten çıkarılma kararı, masumiyet karinesine aykırı biçimde, Resmî Gazetede yayınlanmıştır. Bu suretle maddi/manevi bütünlüğüne, şerefine ve itibarına zarar verilmesinin objektif olarak meşru bir temeli bulunmamaktadır. Hükümetin kendisiyle uyumlu bir yargı inşa etme ve ihraçlarla yargıyı baskı altına alma amacına yöneliktir.</w:t>
      </w:r>
    </w:p>
    <w:p w14:paraId="688562D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Başvurucunun ByLock kullanıcısı olması iddiası sadakat yükümlülüğüne aykırılık teşkil etmeyecektir. Hükümete göre bu program sadece cemaat üyeleri tarafından kullanılmaktadır. Bu noktada AİHM, ByLock programının cemaatle bir tür ilişkiyi gösterebileceğini kabul etmiştir. Ancak bu ilişkinin ihraç gerekçesi olup olmayacağı, ne surette sakıncalı kabul edilebileceği tartışılmalıdır. Çok sayıda dava dosyasında mevcut yazışmalarına göre, ByLock üzerinden normal gündelik yazışmalar ve dini paylaşımlar yapılmıştır. Bu yazışmaların ve bu programı kullanmanın bu itibarla ihraç gerekçesi olması mümkün değildir. Mesaj içerikleri ve bağlamları (Akgün, §173) incelenmeden, otomatik bir sadakate aykırılık karinesi oluşturmak (Yalçınkaya, mutadis mutandis, §§ 255-272) varmak hukuka aykırıdır. Başvurucunun ihracı anında ByLock programında paylaşılan hâkimin </w:t>
      </w:r>
      <w:r w:rsidRPr="00492203">
        <w:rPr>
          <w:rFonts w:ascii="Arial Narrow" w:eastAsia="Times New Roman" w:hAnsi="Arial Narrow" w:cs="Times New Roman"/>
          <w:szCs w:val="24"/>
          <w:lang w:val="tr-TR"/>
        </w:rPr>
        <w:lastRenderedPageBreak/>
        <w:t>bağımsız ve tarafsızlığına ya da sadakat yükümlülüğüne aykırılık teşkil eden bir bilgi bulunmadığı gibi sonradan da böyle bir veri dosyaya girmemiştir.</w:t>
      </w:r>
    </w:p>
    <w:p w14:paraId="602DDEF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rPr>
        <w:t xml:space="preserve">Başvurucunun özel yaşamına yönelik bu müdahaleler, AİHS’in 8/2. maddesinde yer alan kanunla öngörülmesi şartı ile </w:t>
      </w:r>
      <w:r w:rsidRPr="00492203">
        <w:rPr>
          <w:rFonts w:ascii="Arial Narrow" w:eastAsia="Times New Roman" w:hAnsi="Arial Narrow" w:cs="Times New Roman"/>
          <w:b/>
          <w:bCs/>
          <w:szCs w:val="24"/>
          <w:lang w:val="tr-TR"/>
        </w:rPr>
        <w:t>meşru amaçlardan birini taşımamanın yanı sıra demokratik bir toplumda gerekli olma koşulunu da karşılamamaktadır</w:t>
      </w:r>
      <w:r w:rsidRPr="00492203">
        <w:rPr>
          <w:rFonts w:ascii="Arial Narrow" w:eastAsia="Times New Roman" w:hAnsi="Arial Narrow" w:cs="Times New Roman"/>
          <w:szCs w:val="24"/>
          <w:lang w:val="tr-TR"/>
        </w:rPr>
        <w:t>. Hükümet darbe girişimini cemaatin gerçekleştirdiğini iddia etmekte ve cemaatle irtibatlı olduğunu düşündüğü tüm kamu görevlilerinin ömür boyu kamu hizmetinden yasaklanmasını uygun bulmaktadır. Oysaki cemaatle bağlantılı olan ya da öyle olduğu iddia edilen sivil memur ve yargı mensuplarından darbeye karıştığı tespit edilen kimse olmamıştır. Askeri personel içinde de dahi darbeye fiilen katılanlarla ihraç edilen personel sayısı arasında aşırı bir orantısızlık söz konusudur. Darbe girişimini aydınlatması beklenen TBMM Darbe Komisyonu uzun süre çalışmış fakat nedeni açıklanmadan söz konusu komisyon raporu açıklanmamıştır. Dolaysıyla, darbe girişimi ve ihraç edilen yüzbinlerce kamu görevlisi arasında hiçbir bağ söz konusu değildir. Hükümetin ihraç politikasının demokratik toplumda gerekli görülebilecek meşru bir zemini yoktur.</w:t>
      </w:r>
    </w:p>
    <w:p w14:paraId="5ACFBC84"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Arial"/>
          <w:szCs w:val="24"/>
          <w:lang w:val="tr-TR"/>
        </w:rPr>
      </w:pPr>
      <w:r w:rsidRPr="00492203">
        <w:rPr>
          <w:rFonts w:ascii="Arial Narrow" w:eastAsia="Times New Roman" w:hAnsi="Arial Narrow" w:cs="Arial"/>
          <w:szCs w:val="24"/>
          <w:lang w:val="tr-TR" w:eastAsia="tr-TR"/>
        </w:rPr>
        <w:t>AİHM içtihadına göre, bir müdahale “gerekli” sayılabilmesi için toplumsal ihtiyaç baskısına karşılık gelmeli ve izlenen amaçla orantılı olmalıdır (Nada/İsviçre). Ayrıca Mahkeme, daha az zararlı ama aynı amaca ulaşabilecek bir tedbir mümkünse ağır müdahaleyi kabul etmemektedir (Nada/İsviçre). AİHS m.8/2 uyarınca, sadece maddi gerekçeler değil, usule ilişkin güvenceler de aranır. Karar alma süreci, başvurucunun haklarına saygı gösterecek nitelikte olmalı; savunma imkânı tanınmalı ve delillere erişim sağlanmalıdır (Buckley/Birleşik Krallık; Turek/Slovakya). AİHM, orantılılık açısından inceleme yaparken birey ile toplumun yarışan menfaatleri arasında adil dengenin kurulmuş olup olmadığına bakmaktadır. Bir müdahalenin orantılı olduğunun kabulü için, söz konusu temel hakka daha az zarar verebilecek ama aynı amaca ulaşılabilecek başka bir müdahaleye başvurma ihtimalinin olmaması gerekir (Nada/İsviçre kararı). Sözleşmenin 8/2. maddesindeki “gereklilik” şartının incelenmesinde mahkeme, sadece maddi yönden inceleme ile sınırlı kalmamakta usul şartlarını da değerlendirmektedir. Buna göre, karar alma [müdahale] sürecinin bu maddeyle (8. Madde) korunan menfaatlere gerekli saygıyı sağlayacak nitelikte ve usulî güvenceleri içermesi gerekmektedir. Bu süreç, ilgilinin 8. maddedeki haklarını, deliller ve kanıtlama konuları dahil, adil şartlarda savunabileceği etkili bir usul mevzuatının varlığını da gerektirir (Buckley/Birleşik Krallık; Turek/Slovakya kararı).</w:t>
      </w:r>
    </w:p>
    <w:p w14:paraId="6E7FE76C"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HS(Y)K Genel Kurulu, meslekten çıkarılmanın gerekçesini yargının bağımsızlığı ve tarafsızlığının sağlanması olarak açıklamıştır. Başvurucunun gerek özel gerekse mesleki </w:t>
      </w:r>
      <w:r w:rsidRPr="00492203">
        <w:rPr>
          <w:rFonts w:ascii="Arial Narrow" w:eastAsia="Times New Roman" w:hAnsi="Arial Narrow" w:cs="Times New Roman"/>
          <w:szCs w:val="24"/>
          <w:lang w:val="tr-TR" w:eastAsia="tr-TR"/>
        </w:rPr>
        <w:lastRenderedPageBreak/>
        <w:t>yaşamındaki çalışma, davranış ve ilişkileri sebebiyle yargının bağımsızlığı ve tarafsızlığını ihlal ettiğine dair en küçük bir şikayet veya disiplin soruşturması olmaksızın, hakimlik/savcılık teminatına aykırı biçimde, savunma ve delillerini sunma hakkı verilmeksizin, bir daha hiçbir kamu hizmetinde görev yapamayacak şekilde, hakkında ne şekilde ve kimler tarafından doldurulan sosyal çevre bilgisi gibi doğruluğu teyit edilmemiş bilgilerle meslekten çıkarılması ve bu kararın damgalayıcı biçimde Resmi Gazetede yayınlanmasını gerektiren “toplumsal bir ihtiyaç baskısı” yoktur. Dolayısıyla HS(Y)K’nın meşru amaç olarak ileri sürdüğü yargının bağımsızlığı ve tarafsızlığının sağlanması amacıyla bu müdahalelerin “orantılılık” açısından da savunulabilir bir yönü bulunmamaktadır.</w:t>
      </w:r>
    </w:p>
    <w:p w14:paraId="3BDE0169"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HS(Y)K’nın meslekten çıkarma kararı, büyük ölçüde sübjektif ve belirsiz genellemeler ile yer yer makullükten uzak abartılar içeren, başvurucu ve listedeki şahısların büyük çoğunluğu hakkında en küçük bir kişiselleştirme içermeyen bir karardır. Söz konusu kararın hiçbir yerinde ismi geçmemekle beraber kararda anlatılan anekdotsal hiçbir dosya ile başvurucunun bir ilgisi bulunmamaktadır. Nitekim bu haliyle kararın uluslararası standartlara uygun olmadığı pek çok uluslararası örgüt tarafından da ağır eleştirilerle deklare edilmiştir. Bu nedenlerle, HS(Y)K’nın “ilgili ve yeterli gerekçeler” içermeyen söz konusu kararından, meslekten çıkarılmanın demokratik toplumda hangi sebeple gerekli olduğuna dair sonuca varmak da mümkün değildir. 15 Temmuz darbe girişiminden sonra ilan edilen OHAL kapsamında çıkarılan KHK’lar ile henüz Yargıtay tarafından terörist olduğuna dair kabul edilmiş nihai bir karar bulunmamakla beraber hükümet ve MGK tarafından terör örgütü (“FETÖ/PDY”) olarak nitelendirilen yapının tüm kamu kurumlarındaki varlığının sonlandırılması amaçlanmış ve bu yönde adımlar atılmıştır. Bu çerçevede, HS(Y)K tarafından, başvurucu hakkında geçerli makul bir delil olmamasına rağmen ve bu suçlamayı reddettiği halde, üyelik ve iltisak ya da irtibatın nasıl hangi ölçülere göre değerlendirileceğine dair belirlenmiş kriterler olmaksızın, anayasal ve yasal usulî güvenceler bir yana bırakılarak, söylenti üzerinden ya da çevresindeki sosyal ilişkilerinden kaynaklanan sözde genel izlenimlere dayalı olarak şeffaflıktan uzak biçimde meslekten çıkarılmıştır.</w:t>
      </w:r>
    </w:p>
    <w:p w14:paraId="4EE8F7A1"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Bu kararı meşru kılan delil yokluğu bir yana, esasen HS(Y)K’nın aynı sonuca ulaşmasını sağlayacak ve özel yaşamına daha az zarar verecek yöntemler izlemesi de mümkündü. HS(Y)K 2. Dairesi, örneğin henüz darbe girişiminin devam ettiği 16 Temmuz tarihinde, 2745 kişiyi 1-2 saat içerisinde, gerekçe sunmaya ve bireysel değerlendirme yapmaya dahi ihtiyaç duymaksızın görevden uzaklaştırmıştır. Görevden uzaklaştırıldığı döneminde, 2802 sayılı Kanun hükümlerine uygun olarak savunması alınarak kanunda öngörülen diğer usulî güvenceler de sağlanarak eğer görevi ile bağdaşmayacak suç teşkil eden ilişki ya da </w:t>
      </w:r>
      <w:r w:rsidRPr="00492203">
        <w:rPr>
          <w:rFonts w:ascii="Arial Narrow" w:eastAsia="Times New Roman" w:hAnsi="Arial Narrow" w:cs="Times New Roman"/>
          <w:szCs w:val="24"/>
          <w:lang w:val="tr-TR" w:eastAsia="tr-TR"/>
        </w:rPr>
        <w:lastRenderedPageBreak/>
        <w:t>faaliyette bulunduğuna dair tespitte bulunulursa meslekten ihracına kararı verilebilirdi. Devam eden ceza soruşturması kapsamında tutuklu olduğu da nazara alındığında, bu süreci geciktirecek ya da engelleyecek hiçbir husus söz konusu değildi. Nitekim HS(Y)K Başkanvekili Mehmet Yılmaz da ulusal basına yansıyan 23 Eylül 2016 tarihli beyanında devam eden soruşturma ve yargılamalarda mahkûm olmasalar bile hâkim/savcılardan iltisaklı görülenleri disiplin soruşturması yaparak ihraç edebileceklerini belirtmiştir.</w:t>
      </w:r>
    </w:p>
    <w:p w14:paraId="5A70B733"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Öte yandan </w:t>
      </w:r>
      <w:r w:rsidRPr="00492203">
        <w:rPr>
          <w:rFonts w:ascii="Arial Narrow" w:eastAsia="Times New Roman" w:hAnsi="Arial Narrow" w:cs="Times New Roman"/>
          <w:b/>
          <w:bCs/>
          <w:szCs w:val="24"/>
          <w:lang w:val="tr-TR" w:eastAsia="tr-TR"/>
        </w:rPr>
        <w:t>müdahale, sonuçları itibarıyla da ölçüsüzdür ve aşırıdır</w:t>
      </w:r>
      <w:r w:rsidRPr="00492203">
        <w:rPr>
          <w:rFonts w:ascii="Arial Narrow" w:eastAsia="Times New Roman" w:hAnsi="Arial Narrow" w:cs="Times New Roman"/>
          <w:szCs w:val="24"/>
          <w:lang w:val="tr-TR" w:eastAsia="tr-TR"/>
        </w:rPr>
        <w:t>. Başvurucu yalnızca mesleğinden çıkarılmamış, aynı zamanda ömür boyu tüm kamu görevlerinden yasaklanmıştır. Bu yasak nedeniyle hukuk fakültesi mezunu olmasına rağmen avukatlık, noterlik, bilirkişilik veya arabuluculuk gibi hiçbir alanda mesleğini icra edememektedir. Ayrıca, diğer tüm kamu hizmetlerinden de ömür boyu menedilmiştir. Sosyal Güvenlik Kurumu kayıtlarındaki şerh nedeniyle kamudan ihraç edilenlerin özel sektörde iş bulması, fiilen neredeyse imkânsız hâle getirilmiştir. Ayrıca, kamu görevine girme hakkının ötesine geçen ve sürekli genişleyen düzenlemeler, öğrenci yurdu kuruculuğundan özel güvenlik sektörüne, taşımacılıktan burslara kadar birçok alanı “irtibatlı/iltisaklı” olamama şartına bağlamış; böylece başvurucunun hayatının tüm alanlarını kuşatan bir yasak rejimi ortaya çıkmıştır. Kamu görevinden çıkarma, bu nedenle tek başına bir disiplin tedbiri olmaktan çıkmış, başvurucunun özel hayatını doğrudan etkileyen, sınırları belirsiz ve sürekli yenilenen orantısız bir yaptırıma dönüşmüştür.</w:t>
      </w:r>
    </w:p>
    <w:p w14:paraId="313105F5"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Üstelik kamuya açık biçimde “terörist” olarak damgalanması, sosyal ilişkilerini tamamen bozmuş ve onu adeta sosyal ölüme mahkûm etmiştir. Başvurucunun meslekten çıkarılma kararının, içinde isminin de bulunduğu liste ile Resmî Gazetede yayınlanmasının da demokratik bir toplumda kabul edilebilir bir gerekçesi bulunmamaktadır. Bir an için kararın ivedilikle kesinleştirilmesi pratik ihtiyacı ile hareket edildiği kabul edilse bile, başvurucunun kişisel itibarında oluşturduğu kalıcı ve sürekli tahribat ile birlikte değerlendirildiğinde, bu amaca masumiyet karinesi ihlal edilmeksizin, başka yöntemlerle ulaşmak pekâlâ mümkün olabilirdi. Nitekim söz konusu karar, Resmî Gazetede yayınlanmakla birlikte ayrıca başvurucuya tebliğ de edilmiştir. </w:t>
      </w:r>
    </w:p>
    <w:p w14:paraId="40BE4718"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Öte yandan, başvurucunun demokratik toplumda kabulü mümkün olmayan ölçüde orantısız mağduriyetine neden olan meslekten çıkarılmasına ilişkin süreç, 8. madde ile teminat altına alınan menfaatlerini koruyacak şekilde ve usulü güvencelere riayet edilerek işletilmemiştir. HS(Y)K bu kararı alırken, ne hakkındaki delil, bilgi ve belgelerden başvurucuyu haberdar edip savunma imkânı vermiş ne de aldığı meslekten çıkarma kararında kişiselleştirme yaparak karara dayanak delilleri etkin bir yeniden inceleme </w:t>
      </w:r>
      <w:r w:rsidRPr="00492203">
        <w:rPr>
          <w:rFonts w:ascii="Arial Narrow" w:eastAsia="Times New Roman" w:hAnsi="Arial Narrow" w:cs="Times New Roman"/>
          <w:szCs w:val="24"/>
          <w:lang w:val="tr-TR" w:eastAsia="tr-TR"/>
        </w:rPr>
        <w:lastRenderedPageBreak/>
        <w:t>talebinde bulunabilmesi için başvurucuya bildirmiştir. Yeniden inceleme talebinde bu konuda açıkça talepte bulunup savunma yapmak istediğini belirtmesine rağmen bu talebi dikkate alınmamıştır. Yine meslekten çıkarma kararını alan aynı üyelerden oluşan Genel Kurul önünde ve bilahare Danıştay önünde kendi bakış açısını ve delillerini izah edebileceği çekişmeli bir usulden de mahrum bırakılmıştır.</w:t>
      </w:r>
    </w:p>
    <w:p w14:paraId="5EBA3B4F"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 xml:space="preserve">HS(Y)K tarafından başvurucunun meslekten çıkarılması, öncesinde aksini kanıtlama imkânı tanınmadan özel ve mesleki yaşamına ilişkin verilerin toplanıp kullanılması ve kararın Resmî Gazete’de yayımlanması suretiyle özel hayata yapılan müdahale, doğurduğu orantısız sonuçlar ve karar alma sürecinin keyfî müdahaleye karşı etkin koruma sağlamaması nedeniyle </w:t>
      </w:r>
      <w:r w:rsidRPr="00492203">
        <w:rPr>
          <w:rFonts w:ascii="Arial Narrow" w:eastAsia="Times New Roman" w:hAnsi="Arial Narrow" w:cs="Times New Roman"/>
          <w:b/>
          <w:bCs/>
          <w:szCs w:val="24"/>
          <w:lang w:val="tr-TR" w:eastAsia="tr-TR"/>
        </w:rPr>
        <w:t>demokratik toplum gereklerine aykırıdır</w:t>
      </w:r>
      <w:r w:rsidRPr="00492203">
        <w:rPr>
          <w:rFonts w:ascii="Arial Narrow" w:eastAsia="Times New Roman" w:hAnsi="Arial Narrow" w:cs="Times New Roman"/>
          <w:szCs w:val="24"/>
          <w:lang w:val="tr-TR" w:eastAsia="tr-TR"/>
        </w:rPr>
        <w:t>.</w:t>
      </w:r>
    </w:p>
    <w:p w14:paraId="29822C81"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eastAsia="Times New Roman" w:hAnsi="Arial Narrow" w:cs="Times New Roman"/>
          <w:szCs w:val="24"/>
          <w:lang w:val="tr-TR"/>
        </w:rPr>
      </w:pPr>
      <w:r w:rsidRPr="00492203">
        <w:rPr>
          <w:rFonts w:ascii="Arial Narrow" w:eastAsia="Times New Roman" w:hAnsi="Arial Narrow" w:cs="Times New Roman"/>
          <w:szCs w:val="24"/>
          <w:lang w:val="tr-TR" w:eastAsia="tr-TR"/>
        </w:rPr>
        <w:t>AİHS’in 15. maddesi uyarınca olağanüstü koşullarda bazı kısıtlamalar öngörülebilse de başvurucu, hukuka aykırı hiçbir eylemi bulunmayan ve 15 Temmuz kalkışması ile hiçbir ilgisi olmayan, bu yönde hiçbir iddiada dahi bulunulmayan bir yargı mensubudur. Meslek yaşamı boyunca hiçbir şikâyet veya disiplin soruşturması geçirmemiş, düzenli terfi etmiş ve olumlu siciller almıştır. Buna rağmen, mesnetsiz şekilde, anayasal düzene sadakat yükümlülüğünü yitirdiği kabul edilerek meslekten çıkarılmıştır. Bu tedbir, ne AİHS’in 8. maddesi bakımından gerekli ve orantılıdır, ne de 15. madde kapsamında “durumun gerektirdiği” ölçüdedir.</w:t>
      </w:r>
    </w:p>
    <w:p w14:paraId="01F20C6F" w14:textId="77777777" w:rsidR="00492203" w:rsidRPr="00492203" w:rsidRDefault="00492203" w:rsidP="00492203">
      <w:pPr>
        <w:pStyle w:val="Balk2"/>
        <w:rPr>
          <w:rFonts w:ascii="Arial Narrow" w:hAnsi="Arial Narrow" w:cs="Times New Roman"/>
          <w:szCs w:val="24"/>
        </w:rPr>
      </w:pPr>
      <w:r w:rsidRPr="00492203">
        <w:rPr>
          <w:rFonts w:ascii="Arial Narrow" w:hAnsi="Arial Narrow" w:cs="Times New Roman"/>
          <w:szCs w:val="24"/>
        </w:rPr>
        <w:t>AİHS'ne Ek 1 No'lu Protokol m. 1- Mülkiyet hakkı ihlal edilmiştir.</w:t>
      </w:r>
    </w:p>
    <w:p w14:paraId="3DD3C150"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AİHM içtihatlarına göre, memurların ve kamu görevlilerinin maaşları, emeklilik hakları, tazminat alacakları 1 No’lu Ek Protokolün 1. maddesi kapsamında “mülk” olarak değerlendirilmektedir (Örneğin Kjartan Ásmundsson/İzlanda no. 60669/00, 12.10.2004 § 39; Müller/Avusturya, no. 5849/72, 01.10.1975; Kechko/Ukraine, no. 63134/00, 08.112005).</w:t>
      </w:r>
    </w:p>
    <w:p w14:paraId="7FABDC5F" w14:textId="77777777"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t>Anayasal ve yasal güvencelere sahip bir yargı mensubu olan başvurucunun kendisine her ay ödenmesini beklediği ve ihraç nedeniyle kesilen maaşı, henüz belirsiz, gelecekte kazanılacak bir hak veya sadece meşru beklenti değil, mevzuata uygun şekilde kazanılmış ve devamlılık arz eden, yasalarla güvence altına alınmış bir maaş/ödenektir ve Sözleşme kapsamında “mülk” sayılır. Başvurucunun mülkiyet hakkına meslekten ihraç edilerek yapılan müdahale, kanuni değildir ve orantısızdır. Yukarıda, 8. madde kapsamında ifade edildiği gibi, KHK ile getirilen yeni hüküm, geçmişte meydana gelen eylem ve tutumlar isnat edilerek uygulanmış olup başvurucunun buna erişebilmesi ve bunun sonuçları öngörmesi mümkün değildir. Ayrıca, “irtibat ve iltisak” kavramları, hukuki belirliliği olmayan, kriterleri bulunmayan ve keyfi bir şekilde kullanılmaya müsait kavramlarıdır. İlgili düzenlemeler, bu keyfilikleri giderecek etkili mekanizmalar içermemektedir.</w:t>
      </w:r>
    </w:p>
    <w:p w14:paraId="0CB91608" w14:textId="411A5E40" w:rsidR="00492203" w:rsidRPr="00492203" w:rsidRDefault="00492203" w:rsidP="00492203">
      <w:pPr>
        <w:pStyle w:val="ListeParagraf"/>
        <w:numPr>
          <w:ilvl w:val="0"/>
          <w:numId w:val="1"/>
        </w:numPr>
        <w:tabs>
          <w:tab w:val="left" w:pos="426"/>
        </w:tabs>
        <w:spacing w:before="0" w:after="0" w:line="360" w:lineRule="auto"/>
        <w:ind w:left="0" w:firstLine="0"/>
        <w:rPr>
          <w:rFonts w:ascii="Arial Narrow" w:hAnsi="Arial Narrow" w:cs="Times New Roman"/>
          <w:szCs w:val="24"/>
          <w:lang w:val="tr-TR"/>
        </w:rPr>
      </w:pPr>
      <w:r w:rsidRPr="00492203">
        <w:rPr>
          <w:rFonts w:ascii="Arial Narrow" w:hAnsi="Arial Narrow" w:cs="Times New Roman"/>
          <w:szCs w:val="24"/>
          <w:lang w:val="tr-TR"/>
        </w:rPr>
        <w:lastRenderedPageBreak/>
        <w:t>Mülkiyet hakkına yapılan müdahale, başvurucunun kamu hizmetlerinden süresiz yasaklanması ve SGK kaydı ile birlikte düşünüldüğünde, aşırı bir müdahale olarak kabul edilmelidir. Söz konusu müdahale ile ulaşmak istenilen amaca daha hafif tedbirlerle ulaşılabilirdi. Örneğin, 2802 sayılı Kanunun öngördüğü şekilde, başvurucuyu açığa alarak yargılama süresince maaşını kısmen alması mümkün olabilirdi. Ayrıca, ömür boyu kamu hizmetlerinden yasaklılık gibi bir ağır müdahaleyi dengelemek için daha önceki hizmetlerini de göz önünde bulundurarak başvurucu zorunlu emekliliğe sevk edebilir ve mülkiyet hakkı kısmen gözetilebilirdi.</w:t>
      </w:r>
    </w:p>
    <w:sectPr w:rsidR="00492203" w:rsidRPr="00492203" w:rsidSect="00492203">
      <w:footerReference w:type="default" r:id="rId8"/>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D614" w14:textId="77777777" w:rsidR="00DF50F4" w:rsidRDefault="00DF50F4" w:rsidP="0047221A">
      <w:pPr>
        <w:spacing w:before="0" w:after="0" w:line="240" w:lineRule="auto"/>
      </w:pPr>
      <w:r>
        <w:separator/>
      </w:r>
    </w:p>
  </w:endnote>
  <w:endnote w:type="continuationSeparator" w:id="0">
    <w:p w14:paraId="3DF12E98" w14:textId="77777777" w:rsidR="00DF50F4" w:rsidRDefault="00DF50F4" w:rsidP="004722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BE3B" w14:textId="55A79950" w:rsidR="0047221A" w:rsidRDefault="0047221A" w:rsidP="0047221A">
    <w:pPr>
      <w:pStyle w:val="AltBilgi"/>
      <w:jc w:val="center"/>
    </w:pPr>
    <w:r>
      <w:fldChar w:fldCharType="begin"/>
    </w:r>
    <w:r>
      <w:instrText xml:space="preserve"> PAGE  \* Arabic  \* MERGEFORMAT </w:instrText>
    </w:r>
    <w:r>
      <w:fldChar w:fldCharType="separate"/>
    </w:r>
    <w:r>
      <w:rPr>
        <w:noProof/>
      </w:rPr>
      <w:t>1</w:t>
    </w:r>
    <w:r>
      <w:fldChar w:fldCharType="end"/>
    </w:r>
    <w:r>
      <w:t xml:space="preserve"> | </w:t>
    </w:r>
    <w:fldSimple w:instr=" NUMPAGES  \* Arabic  \* MERGEFORMAT ">
      <w:r>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CFEB" w14:textId="77777777" w:rsidR="00DF50F4" w:rsidRDefault="00DF50F4" w:rsidP="0047221A">
      <w:pPr>
        <w:spacing w:before="0" w:after="0" w:line="240" w:lineRule="auto"/>
      </w:pPr>
      <w:r>
        <w:separator/>
      </w:r>
    </w:p>
  </w:footnote>
  <w:footnote w:type="continuationSeparator" w:id="0">
    <w:p w14:paraId="4B47B230" w14:textId="77777777" w:rsidR="00DF50F4" w:rsidRDefault="00DF50F4" w:rsidP="0047221A">
      <w:pPr>
        <w:spacing w:before="0" w:after="0" w:line="240" w:lineRule="auto"/>
      </w:pPr>
      <w:r>
        <w:continuationSeparator/>
      </w:r>
    </w:p>
  </w:footnote>
  <w:footnote w:id="1">
    <w:p w14:paraId="3953F3D3" w14:textId="1226D94B"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hyperlink r:id="rId1" w:history="1">
        <w:r w:rsidR="00636580" w:rsidRPr="004D52FF">
          <w:rPr>
            <w:rStyle w:val="Kpr"/>
            <w:rFonts w:ascii="Arial Narrow" w:hAnsi="Arial Narrow" w:cs="Times New Roman"/>
          </w:rPr>
          <w:t>http://www.ab.gov.tr/files/5%20Ekim/son__2016_ilerleme_raporu_tr.pdf</w:t>
        </w:r>
      </w:hyperlink>
      <w:r w:rsidRPr="00636580">
        <w:rPr>
          <w:rFonts w:ascii="Arial Narrow" w:hAnsi="Arial Narrow" w:cs="Times New Roman"/>
        </w:rPr>
        <w:t xml:space="preserve"> </w:t>
      </w:r>
    </w:p>
    <w:p w14:paraId="64BDAD6F" w14:textId="77777777" w:rsidR="00492203" w:rsidRPr="00636580" w:rsidRDefault="00492203" w:rsidP="00636580">
      <w:pPr>
        <w:pStyle w:val="DipnotMetni"/>
        <w:ind w:left="567"/>
        <w:jc w:val="both"/>
        <w:rPr>
          <w:rFonts w:ascii="Arial Narrow" w:hAnsi="Arial Narrow" w:cs="Times New Roman"/>
        </w:rPr>
      </w:pPr>
      <w:r w:rsidRPr="00636580">
        <w:rPr>
          <w:rFonts w:ascii="Arial Narrow" w:hAnsi="Arial Narrow" w:cs="Times New Roman"/>
        </w:rPr>
        <w:t>Türkiye’de yargı bağımsızlığı sorununa dair çok sayıda güvenilir rapordan bazılarına aşağıdaki linklerden ulaşılabilir:</w:t>
      </w:r>
    </w:p>
    <w:p w14:paraId="5BB3559D" w14:textId="77777777" w:rsidR="00492203" w:rsidRPr="00636580" w:rsidRDefault="00492203" w:rsidP="00636580">
      <w:pPr>
        <w:pStyle w:val="DipnotMetni"/>
        <w:ind w:left="567"/>
        <w:jc w:val="both"/>
        <w:rPr>
          <w:rFonts w:ascii="Arial Narrow" w:hAnsi="Arial Narrow" w:cs="Times New Roman"/>
          <w:lang w:val="en-GB"/>
        </w:rPr>
      </w:pPr>
      <w:r w:rsidRPr="00636580">
        <w:rPr>
          <w:rFonts w:ascii="Arial Narrow" w:hAnsi="Arial Narrow" w:cs="Times New Roman"/>
          <w:lang w:val="en-GB"/>
        </w:rPr>
        <w:t xml:space="preserve">International Commission of Jurist (ICJ), ‘Turkey: the Judicial System in Peril: A briefing paper’, 2016, </w:t>
      </w:r>
      <w:hyperlink r:id="rId2" w:history="1">
        <w:r w:rsidRPr="00636580">
          <w:rPr>
            <w:rStyle w:val="Kpr"/>
            <w:rFonts w:ascii="Arial Narrow" w:hAnsi="Arial Narrow" w:cs="Times New Roman"/>
            <w:lang w:val="en-GB"/>
          </w:rPr>
          <w:t>https://www.icj.org/wp-content/uploads/2016/07/Turkey-Judiciary-in-Peril-Publications-Reports-Fact-Findings-Mission-Reports-2016-ENG.pdf</w:t>
        </w:r>
      </w:hyperlink>
      <w:r w:rsidRPr="00636580">
        <w:rPr>
          <w:rFonts w:ascii="Arial Narrow" w:hAnsi="Arial Narrow" w:cs="Times New Roman"/>
          <w:lang w:val="en-GB"/>
        </w:rPr>
        <w:t xml:space="preserve"> </w:t>
      </w:r>
    </w:p>
    <w:p w14:paraId="09E83D28" w14:textId="77777777" w:rsidR="00492203" w:rsidRPr="00636580" w:rsidRDefault="00492203" w:rsidP="00636580">
      <w:pPr>
        <w:pStyle w:val="DipnotMetni"/>
        <w:ind w:left="567"/>
        <w:jc w:val="both"/>
        <w:rPr>
          <w:rFonts w:ascii="Arial Narrow" w:hAnsi="Arial Narrow" w:cs="Times New Roman"/>
          <w:lang w:val="en-GB"/>
        </w:rPr>
      </w:pPr>
      <w:r w:rsidRPr="00636580">
        <w:rPr>
          <w:rFonts w:ascii="Arial Narrow" w:hAnsi="Arial Narrow" w:cs="Times New Roman"/>
          <w:lang w:val="en-GB"/>
        </w:rPr>
        <w:t xml:space="preserve">Venice Commission Opinion No. 875/2017, </w:t>
      </w:r>
      <w:hyperlink r:id="rId3" w:history="1">
        <w:r w:rsidRPr="00636580">
          <w:rPr>
            <w:rStyle w:val="Kpr"/>
            <w:rFonts w:ascii="Arial Narrow" w:hAnsi="Arial Narrow" w:cs="Times New Roman"/>
            <w:lang w:val="en-GB"/>
          </w:rPr>
          <w:t>https://www.venice.coe.int/webforms/documents/default.aspx?pdffile=CDL-AD(2017)005-e</w:t>
        </w:r>
      </w:hyperlink>
    </w:p>
    <w:p w14:paraId="2D7EE832" w14:textId="77777777" w:rsidR="00492203" w:rsidRPr="00636580" w:rsidRDefault="00492203" w:rsidP="00636580">
      <w:pPr>
        <w:pStyle w:val="DipnotMetni"/>
        <w:ind w:left="567"/>
        <w:jc w:val="both"/>
        <w:rPr>
          <w:rFonts w:ascii="Arial Narrow" w:hAnsi="Arial Narrow" w:cs="Times New Roman"/>
          <w:lang w:val="en-GB"/>
        </w:rPr>
      </w:pPr>
      <w:r w:rsidRPr="00636580">
        <w:rPr>
          <w:rFonts w:ascii="Arial Narrow" w:hAnsi="Arial Narrow" w:cs="Times New Roman"/>
          <w:lang w:val="en-GB"/>
        </w:rPr>
        <w:t>International Commission of Jurist (ICJ), ‘</w:t>
      </w:r>
      <w:r w:rsidRPr="00636580">
        <w:rPr>
          <w:rFonts w:ascii="Arial Narrow" w:hAnsi="Arial Narrow" w:cs="Times New Roman"/>
        </w:rPr>
        <w:t>Askıya alınan adalet: Adalete Erişim ve Türkiye’ de Olağanüstü Hal’</w:t>
      </w:r>
      <w:r w:rsidRPr="00636580">
        <w:rPr>
          <w:rFonts w:ascii="Arial Narrow" w:hAnsi="Arial Narrow" w:cs="Times New Roman"/>
          <w:lang w:val="en-GB"/>
        </w:rPr>
        <w:t xml:space="preserve">, 2018, </w:t>
      </w:r>
      <w:hyperlink r:id="rId4" w:history="1">
        <w:r w:rsidRPr="00636580">
          <w:rPr>
            <w:rStyle w:val="Kpr"/>
            <w:rFonts w:ascii="Arial Narrow" w:hAnsi="Arial Narrow" w:cs="Times New Roman"/>
            <w:lang w:val="en-GB"/>
          </w:rPr>
          <w:t>https://www.icj.org/wp-content/uploads/2018/12/Turkey-Access-to-justice-Publications-Reports-2018-TUR.pdf?utm</w:t>
        </w:r>
      </w:hyperlink>
      <w:r w:rsidRPr="00636580">
        <w:rPr>
          <w:rFonts w:ascii="Arial Narrow" w:hAnsi="Arial Narrow" w:cs="Times New Roman"/>
          <w:lang w:val="en-GB"/>
        </w:rPr>
        <w:t xml:space="preserve"> </w:t>
      </w:r>
    </w:p>
    <w:p w14:paraId="789E96A2" w14:textId="77777777" w:rsidR="00492203" w:rsidRPr="00636580" w:rsidRDefault="00492203" w:rsidP="00636580">
      <w:pPr>
        <w:pStyle w:val="DipnotMetni"/>
        <w:ind w:left="567"/>
        <w:jc w:val="both"/>
        <w:rPr>
          <w:rFonts w:ascii="Arial Narrow" w:hAnsi="Arial Narrow" w:cs="Times New Roman"/>
          <w:lang w:val="en-GB"/>
        </w:rPr>
      </w:pPr>
      <w:r w:rsidRPr="00636580">
        <w:rPr>
          <w:rFonts w:ascii="Arial Narrow" w:hAnsi="Arial Narrow" w:cs="Times New Roman"/>
          <w:lang w:val="en-GB"/>
        </w:rPr>
        <w:t xml:space="preserve">Commissioner For Human Rights of the Council Of Europe, Report Following her Visit to Turkey from 1 to 5 July 2019, 2020, </w:t>
      </w:r>
      <w:hyperlink r:id="rId5" w:history="1">
        <w:r w:rsidRPr="00636580">
          <w:rPr>
            <w:rStyle w:val="Kpr"/>
            <w:rFonts w:ascii="Arial Narrow" w:hAnsi="Arial Narrow" w:cs="Times New Roman"/>
            <w:lang w:val="en-GB"/>
          </w:rPr>
          <w:t>https://rm.coe.int/report-on-the-visit-to-turkey-by-dunja-mijatovic-council-of-europe-com/168099823e</w:t>
        </w:r>
      </w:hyperlink>
      <w:r w:rsidRPr="00636580">
        <w:rPr>
          <w:rFonts w:ascii="Arial Narrow" w:hAnsi="Arial Narrow" w:cs="Times New Roman"/>
          <w:lang w:val="en-GB"/>
        </w:rPr>
        <w:t xml:space="preserve"> </w:t>
      </w:r>
    </w:p>
    <w:p w14:paraId="7705C833" w14:textId="77777777" w:rsidR="00492203" w:rsidRPr="00636580" w:rsidRDefault="00492203" w:rsidP="00636580">
      <w:pPr>
        <w:pStyle w:val="DipnotMetni"/>
        <w:ind w:left="567"/>
        <w:jc w:val="both"/>
        <w:rPr>
          <w:rFonts w:ascii="Arial Narrow" w:hAnsi="Arial Narrow" w:cs="Times New Roman"/>
          <w:lang w:val="en-GB"/>
        </w:rPr>
      </w:pPr>
      <w:r w:rsidRPr="00636580">
        <w:rPr>
          <w:rFonts w:ascii="Arial Narrow" w:hAnsi="Arial Narrow" w:cs="Times New Roman"/>
          <w:lang w:val="en-GB"/>
        </w:rPr>
        <w:t xml:space="preserve">Transparency International, ‘Examining State Capture Undue Influence on Law-Making and the Judiciary in the Western Balkans and Turkey’, 2020, </w:t>
      </w:r>
      <w:hyperlink r:id="rId6" w:history="1">
        <w:r w:rsidRPr="00636580">
          <w:rPr>
            <w:rStyle w:val="Kpr"/>
            <w:rFonts w:ascii="Arial Narrow" w:hAnsi="Arial Narrow" w:cs="Times New Roman"/>
            <w:lang w:val="en-GB"/>
          </w:rPr>
          <w:t>https://images.transparencycdn.org/images/2020_Report_ExaminingStateCapture_English.pdf</w:t>
        </w:r>
      </w:hyperlink>
      <w:r w:rsidRPr="00636580">
        <w:rPr>
          <w:rFonts w:ascii="Arial Narrow" w:hAnsi="Arial Narrow" w:cs="Times New Roman"/>
          <w:lang w:val="en-GB"/>
        </w:rPr>
        <w:t xml:space="preserve"> </w:t>
      </w:r>
    </w:p>
    <w:p w14:paraId="33DE3667" w14:textId="77777777" w:rsidR="00492203" w:rsidRPr="00636580" w:rsidRDefault="00492203" w:rsidP="00636580">
      <w:pPr>
        <w:pStyle w:val="DipnotMetni"/>
        <w:ind w:left="567"/>
        <w:jc w:val="both"/>
        <w:rPr>
          <w:rFonts w:ascii="Arial Narrow" w:hAnsi="Arial Narrow" w:cs="Times New Roman"/>
          <w:lang w:val="en-GB"/>
        </w:rPr>
      </w:pPr>
      <w:r w:rsidRPr="00636580">
        <w:rPr>
          <w:rFonts w:ascii="Arial Narrow" w:hAnsi="Arial Narrow" w:cs="Times New Roman"/>
          <w:lang w:val="en-GB"/>
        </w:rPr>
        <w:t xml:space="preserve">Venice Commission Opinion No. 1196/2024, </w:t>
      </w:r>
      <w:hyperlink r:id="rId7" w:history="1">
        <w:r w:rsidRPr="00636580">
          <w:rPr>
            <w:rStyle w:val="Kpr"/>
            <w:rFonts w:ascii="Arial Narrow" w:hAnsi="Arial Narrow" w:cs="Times New Roman"/>
            <w:lang w:val="en-GB"/>
          </w:rPr>
          <w:t>https://www.venice.coe.int/webforms/documents/default.aspx?pdffile=CDL-AD(2024)041-e</w:t>
        </w:r>
      </w:hyperlink>
    </w:p>
  </w:footnote>
  <w:footnote w:id="2">
    <w:p w14:paraId="6ED9DA38" w14:textId="5E0817AE"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hyperlink r:id="rId8" w:history="1">
        <w:r w:rsidR="00636580" w:rsidRPr="004D52FF">
          <w:rPr>
            <w:rStyle w:val="Kpr"/>
            <w:rFonts w:ascii="Arial Narrow" w:hAnsi="Arial Narrow" w:cs="Times New Roman"/>
          </w:rPr>
          <w:t>https://www.aa.com.tr/tr/turkiye/feto-ile-mucadele-edenler-yuksek-yargic-oldu-/1205829</w:t>
        </w:r>
      </w:hyperlink>
    </w:p>
  </w:footnote>
  <w:footnote w:id="3">
    <w:p w14:paraId="36957727" w14:textId="41BBEA81"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hyperlink r:id="rId9" w:history="1">
        <w:r w:rsidR="00636580" w:rsidRPr="004D52FF">
          <w:rPr>
            <w:rStyle w:val="Kpr"/>
            <w:rFonts w:ascii="Arial Narrow" w:hAnsi="Arial Narrow" w:cs="Times New Roman"/>
          </w:rPr>
          <w:t>https://www.denizlimuhabir.com/denizlim-danistay-uyesi-yunus-aykin-i-konuk-etti/3155</w:t>
        </w:r>
      </w:hyperlink>
    </w:p>
  </w:footnote>
  <w:footnote w:id="4">
    <w:p w14:paraId="1F08E0B9" w14:textId="59F4E88F"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hyperlink r:id="rId10" w:history="1">
        <w:r w:rsidR="00636580" w:rsidRPr="004D52FF">
          <w:rPr>
            <w:rStyle w:val="Kpr"/>
            <w:rFonts w:ascii="Arial Narrow" w:hAnsi="Arial Narrow" w:cs="Times New Roman"/>
          </w:rPr>
          <w:t>https://www.haberler.com/feto-nun-yargi-icerisindeki-gucu-2014-te-kirildi-9748531-haberi/</w:t>
        </w:r>
      </w:hyperlink>
      <w:r w:rsidRPr="00636580">
        <w:rPr>
          <w:rFonts w:ascii="Arial Narrow" w:hAnsi="Arial Narrow" w:cs="Times New Roman"/>
        </w:rPr>
        <w:t xml:space="preserve">, </w:t>
      </w:r>
      <w:hyperlink r:id="rId11" w:history="1">
        <w:r w:rsidRPr="00636580">
          <w:rPr>
            <w:rStyle w:val="Kpr"/>
            <w:rFonts w:ascii="Arial Narrow" w:hAnsi="Arial Narrow" w:cs="Times New Roman"/>
          </w:rPr>
          <w:t>https://www.haberler.com/guncel/yargida-birlik-dernegi-baskani-heybet-aciklamasi-9730775-haberi/</w:t>
        </w:r>
      </w:hyperlink>
      <w:r w:rsidRPr="00636580">
        <w:rPr>
          <w:rFonts w:ascii="Arial Narrow" w:hAnsi="Arial Narrow" w:cs="Times New Roman"/>
        </w:rPr>
        <w:t xml:space="preserve">, </w:t>
      </w:r>
      <w:hyperlink r:id="rId12" w:history="1">
        <w:r w:rsidRPr="00636580">
          <w:rPr>
            <w:rStyle w:val="Kpr"/>
            <w:rFonts w:ascii="Arial Narrow" w:hAnsi="Arial Narrow" w:cs="Times New Roman"/>
          </w:rPr>
          <w:t>https://www.aa.com.tr/tr/15-temmuz-darbe-girisimi/magduriyet-algisi-ihanetin-perdelenmesi-icin-ozel-calismadir/908987</w:t>
        </w:r>
      </w:hyperlink>
      <w:r w:rsidRPr="00636580">
        <w:rPr>
          <w:rFonts w:ascii="Arial Narrow" w:hAnsi="Arial Narrow" w:cs="Times New Roman"/>
        </w:rPr>
        <w:t xml:space="preserve">, </w:t>
      </w:r>
      <w:hyperlink r:id="rId13" w:history="1">
        <w:r w:rsidRPr="00636580">
          <w:rPr>
            <w:rStyle w:val="Kpr"/>
            <w:rFonts w:ascii="Arial Narrow" w:hAnsi="Arial Narrow" w:cs="Times New Roman"/>
          </w:rPr>
          <w:t>https://www.dha.com.tr/gundem/ybd-baskani-heybet-hsk-bu-yapiyla-mucadelesini-surduruyor-1574311</w:t>
        </w:r>
      </w:hyperlink>
    </w:p>
  </w:footnote>
  <w:footnote w:id="5">
    <w:p w14:paraId="32A1CC9C" w14:textId="77777777" w:rsidR="00492203" w:rsidRPr="00636580" w:rsidRDefault="00492203" w:rsidP="00636580">
      <w:pPr>
        <w:pStyle w:val="DipnotMetni"/>
        <w:ind w:left="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hyperlink r:id="rId14" w:history="1">
        <w:r w:rsidRPr="00636580">
          <w:rPr>
            <w:rStyle w:val="Kpr"/>
            <w:rFonts w:ascii="Arial Narrow" w:hAnsi="Arial Narrow" w:cs="Times New Roman"/>
          </w:rPr>
          <w:t>https://www.sabah.com.tr/gundem/2024/02/12/450-hakim-savci-krizi</w:t>
        </w:r>
      </w:hyperlink>
    </w:p>
  </w:footnote>
  <w:footnote w:id="6">
    <w:p w14:paraId="04334761" w14:textId="3AFAA243"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hyperlink r:id="rId15" w:history="1">
        <w:r w:rsidR="00636580" w:rsidRPr="004D52FF">
          <w:rPr>
            <w:rStyle w:val="Kpr"/>
            <w:rFonts w:ascii="Arial Narrow" w:hAnsi="Arial Narrow" w:cs="Times New Roman"/>
          </w:rPr>
          <w:t>https://www.sabah.com.tr/gundem/2024/02/15/son-dakika-danistay-fetoden-ihrac-edilen-hakim-ve-savcilari-goreve-iade-etmisti-baskan-erdogandan-sert-tepki-sessiz-kalamayiz?paging=2</w:t>
        </w:r>
      </w:hyperlink>
    </w:p>
  </w:footnote>
  <w:footnote w:id="7">
    <w:p w14:paraId="1EE83AED" w14:textId="3DB4B676" w:rsidR="00636580" w:rsidRPr="00636580" w:rsidRDefault="00636580" w:rsidP="00636580">
      <w:pPr>
        <w:pStyle w:val="DipnotMetni"/>
        <w:ind w:left="567" w:hanging="567"/>
        <w:jc w:val="both"/>
        <w:rPr>
          <w:rFonts w:ascii="Arial Narrow" w:hAnsi="Arial Narrow"/>
        </w:rPr>
      </w:pPr>
      <w:r w:rsidRPr="00636580">
        <w:rPr>
          <w:rStyle w:val="DipnotBavurusu"/>
          <w:rFonts w:ascii="Arial Narrow" w:hAnsi="Arial Narrow"/>
          <w:vertAlign w:val="baseline"/>
        </w:rPr>
        <w:footnoteRef/>
      </w:r>
      <w:r w:rsidRPr="00636580">
        <w:rPr>
          <w:rFonts w:ascii="Arial Narrow" w:hAnsi="Arial Narrow"/>
        </w:rPr>
        <w:t xml:space="preserve"> </w:t>
      </w:r>
      <w:r>
        <w:rPr>
          <w:rFonts w:ascii="Arial Narrow" w:hAnsi="Arial Narrow"/>
        </w:rPr>
        <w:tab/>
      </w:r>
      <w:hyperlink r:id="rId16" w:history="1">
        <w:r w:rsidRPr="004D52FF">
          <w:rPr>
            <w:rStyle w:val="Kpr"/>
            <w:rFonts w:ascii="Arial Narrow" w:hAnsi="Arial Narrow"/>
          </w:rPr>
          <w:t>https://justicesquare.org/danistay-5-dairesi-bagimsiz-ve-tarafsiz-bir-mahkeme-degildir/</w:t>
        </w:r>
      </w:hyperlink>
      <w:r w:rsidRPr="00636580">
        <w:rPr>
          <w:rFonts w:ascii="Arial Narrow" w:hAnsi="Arial Narrow"/>
        </w:rPr>
        <w:t xml:space="preserve"> </w:t>
      </w:r>
    </w:p>
  </w:footnote>
  <w:footnote w:id="8">
    <w:p w14:paraId="3E460B63" w14:textId="4A6B87A2"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hyperlink r:id="rId17" w:history="1">
        <w:r w:rsidR="00636580" w:rsidRPr="004D52FF">
          <w:rPr>
            <w:rStyle w:val="Kpr"/>
            <w:rFonts w:ascii="Arial Narrow" w:hAnsi="Arial Narrow" w:cs="Times New Roman"/>
          </w:rPr>
          <w:t>https://justicesquare.org/wp-content/uploads/2025/10/ANAYASA-MAHKEMESININ-GUNCEL-YARGILAMALAR-KAPSAMINDA-YAPILAN-BASVURULARDA-TARAFSIZLIK-BAGIMSIZLIK-VE-ETKILILIK-SORUNSALI.pdf</w:t>
        </w:r>
      </w:hyperlink>
      <w:r w:rsidRPr="00636580">
        <w:rPr>
          <w:rFonts w:ascii="Arial Narrow" w:hAnsi="Arial Narrow" w:cs="Times New Roman"/>
        </w:rPr>
        <w:t xml:space="preserve"> </w:t>
      </w:r>
    </w:p>
  </w:footnote>
  <w:footnote w:id="9">
    <w:p w14:paraId="202FA2D1" w14:textId="27B5C2CB" w:rsidR="00492203" w:rsidRPr="00636580" w:rsidRDefault="00492203" w:rsidP="00636580">
      <w:pPr>
        <w:pStyle w:val="DipnotMetni"/>
        <w:ind w:left="567" w:hanging="567"/>
        <w:jc w:val="both"/>
        <w:rPr>
          <w:rFonts w:ascii="Arial Narrow" w:hAnsi="Arial Narrow" w:cs="Times New Roman"/>
        </w:rPr>
      </w:pPr>
      <w:r w:rsidRPr="00636580">
        <w:rPr>
          <w:rStyle w:val="DipnotBavurusu"/>
          <w:rFonts w:ascii="Arial Narrow" w:hAnsi="Arial Narrow" w:cs="Times New Roman"/>
          <w:vertAlign w:val="baseline"/>
        </w:rPr>
        <w:footnoteRef/>
      </w:r>
      <w:r w:rsidRPr="00636580">
        <w:rPr>
          <w:rFonts w:ascii="Arial Narrow" w:hAnsi="Arial Narrow" w:cs="Times New Roman"/>
        </w:rPr>
        <w:t xml:space="preserve"> </w:t>
      </w:r>
      <w:r w:rsidR="00636580">
        <w:rPr>
          <w:rFonts w:ascii="Arial Narrow" w:hAnsi="Arial Narrow" w:cs="Times New Roman"/>
        </w:rPr>
        <w:tab/>
      </w:r>
      <w:r w:rsidRPr="00636580">
        <w:rPr>
          <w:rFonts w:ascii="Arial Narrow" w:eastAsia="Times New Roman" w:hAnsi="Arial Narrow" w:cs="Times New Roman"/>
        </w:rPr>
        <w:t>Örneğin: BM Yargı Bağımsızlığı Temel İlkeleri 12. ve 18. maddeler; 8-10 Temmuz 1998 tarihli Hakimlerin Statüsü Avrupa Şartı; Avrupa Konseyi Bakanlar Komitesi Rec (201)12 sayılı kararı; Avrupa Konseyi Hâkimler Danışma Konseyi’nin 1(2001) sayılı ve 23 Kasım 2001 tarihli Hakimlerin Görevden Alınması ve Yargı Bağımsızlığına İlişkin Standartları Dair Görüşü.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95857"/>
    <w:multiLevelType w:val="hybridMultilevel"/>
    <w:tmpl w:val="926CC296"/>
    <w:lvl w:ilvl="0" w:tplc="77BCE414">
      <w:start w:val="1"/>
      <w:numFmt w:val="decimal"/>
      <w:lvlText w:val="%1."/>
      <w:lvlJc w:val="left"/>
      <w:pPr>
        <w:ind w:left="720" w:hanging="360"/>
      </w:pPr>
      <w:rPr>
        <w:b/>
        <w:bCs/>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2490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1C"/>
    <w:rsid w:val="00004D4A"/>
    <w:rsid w:val="00063EED"/>
    <w:rsid w:val="000C6F27"/>
    <w:rsid w:val="000E0960"/>
    <w:rsid w:val="0014166C"/>
    <w:rsid w:val="00156FC5"/>
    <w:rsid w:val="001E312B"/>
    <w:rsid w:val="001E555F"/>
    <w:rsid w:val="002A15C4"/>
    <w:rsid w:val="00361BB5"/>
    <w:rsid w:val="003652F3"/>
    <w:rsid w:val="003B20C3"/>
    <w:rsid w:val="003F021E"/>
    <w:rsid w:val="004130E0"/>
    <w:rsid w:val="0047221A"/>
    <w:rsid w:val="00492203"/>
    <w:rsid w:val="004A2953"/>
    <w:rsid w:val="005B3D9A"/>
    <w:rsid w:val="005C13BD"/>
    <w:rsid w:val="005C192B"/>
    <w:rsid w:val="00636580"/>
    <w:rsid w:val="00645BAB"/>
    <w:rsid w:val="006C3D67"/>
    <w:rsid w:val="006D40B2"/>
    <w:rsid w:val="006F087E"/>
    <w:rsid w:val="00780A6D"/>
    <w:rsid w:val="00787647"/>
    <w:rsid w:val="007C6767"/>
    <w:rsid w:val="008F35C6"/>
    <w:rsid w:val="008F5ADF"/>
    <w:rsid w:val="00946642"/>
    <w:rsid w:val="009F60F1"/>
    <w:rsid w:val="00AB481C"/>
    <w:rsid w:val="00AC4DE1"/>
    <w:rsid w:val="00B37482"/>
    <w:rsid w:val="00CE1E7C"/>
    <w:rsid w:val="00CF1414"/>
    <w:rsid w:val="00D37C80"/>
    <w:rsid w:val="00D42426"/>
    <w:rsid w:val="00D72DF0"/>
    <w:rsid w:val="00DE48B0"/>
    <w:rsid w:val="00DF405B"/>
    <w:rsid w:val="00DF50F4"/>
    <w:rsid w:val="00E12B07"/>
    <w:rsid w:val="00F10ECA"/>
    <w:rsid w:val="00F15B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A438"/>
  <w15:chartTrackingRefBased/>
  <w15:docId w15:val="{26D200AD-28EF-4AC7-8DC9-5069DE30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5B"/>
    <w:pPr>
      <w:spacing w:before="120" w:after="120"/>
      <w:jc w:val="both"/>
    </w:pPr>
    <w:rPr>
      <w:rFonts w:ascii="Times New Roman" w:hAnsi="Times New Roman"/>
      <w:sz w:val="24"/>
      <w:lang w:val="en-US"/>
    </w:rPr>
  </w:style>
  <w:style w:type="paragraph" w:styleId="Balk1">
    <w:name w:val="heading 1"/>
    <w:basedOn w:val="Normal"/>
    <w:next w:val="Normal"/>
    <w:link w:val="Balk1Char"/>
    <w:autoRedefine/>
    <w:uiPriority w:val="9"/>
    <w:qFormat/>
    <w:rsid w:val="00CF1414"/>
    <w:pPr>
      <w:keepNext/>
      <w:keepLines/>
      <w:spacing w:before="240"/>
      <w:outlineLvl w:val="0"/>
    </w:pPr>
    <w:rPr>
      <w:rFonts w:eastAsiaTheme="majorEastAsia" w:cs="Arial"/>
      <w:b/>
      <w:lang w:val="tr-TR"/>
    </w:rPr>
  </w:style>
  <w:style w:type="paragraph" w:styleId="Balk2">
    <w:name w:val="heading 2"/>
    <w:basedOn w:val="Normal"/>
    <w:next w:val="Normal"/>
    <w:link w:val="Balk2Char"/>
    <w:autoRedefine/>
    <w:uiPriority w:val="9"/>
    <w:unhideWhenUsed/>
    <w:qFormat/>
    <w:rsid w:val="005C192B"/>
    <w:pPr>
      <w:keepNext/>
      <w:keepLines/>
      <w:outlineLvl w:val="1"/>
    </w:pPr>
    <w:rPr>
      <w:rFonts w:eastAsiaTheme="majorEastAsia" w:cstheme="majorBidi"/>
      <w:b/>
      <w:szCs w:val="26"/>
      <w:lang w:val="tr-TR"/>
    </w:rPr>
  </w:style>
  <w:style w:type="paragraph" w:styleId="Balk3">
    <w:name w:val="heading 3"/>
    <w:basedOn w:val="Normal"/>
    <w:next w:val="Normal"/>
    <w:link w:val="Balk3Char"/>
    <w:uiPriority w:val="9"/>
    <w:unhideWhenUsed/>
    <w:qFormat/>
    <w:rsid w:val="000E0960"/>
    <w:pPr>
      <w:keepNext/>
      <w:keepLines/>
      <w:spacing w:before="160" w:after="80"/>
      <w:outlineLvl w:val="2"/>
    </w:pPr>
    <w:rPr>
      <w:rFonts w:eastAsiaTheme="majorEastAsia" w:cstheme="majorBidi"/>
      <w:b/>
      <w:color w:val="215E99" w:themeColor="text2" w:themeTint="BF"/>
      <w:szCs w:val="28"/>
    </w:rPr>
  </w:style>
  <w:style w:type="paragraph" w:styleId="Balk4">
    <w:name w:val="heading 4"/>
    <w:basedOn w:val="Normal"/>
    <w:next w:val="Normal"/>
    <w:link w:val="Balk4Char"/>
    <w:uiPriority w:val="9"/>
    <w:semiHidden/>
    <w:unhideWhenUsed/>
    <w:qFormat/>
    <w:rsid w:val="00AB48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B481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B48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B481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B481C"/>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B48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192B"/>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rsid w:val="000E0960"/>
    <w:rPr>
      <w:rFonts w:eastAsiaTheme="majorEastAsia" w:cstheme="majorBidi"/>
      <w:b/>
      <w:color w:val="215E99" w:themeColor="text2" w:themeTint="BF"/>
      <w:sz w:val="24"/>
      <w:szCs w:val="28"/>
    </w:rPr>
  </w:style>
  <w:style w:type="character" w:customStyle="1" w:styleId="Balk1Char">
    <w:name w:val="Başlık 1 Char"/>
    <w:basedOn w:val="VarsaylanParagrafYazTipi"/>
    <w:link w:val="Balk1"/>
    <w:uiPriority w:val="9"/>
    <w:rsid w:val="00CF1414"/>
    <w:rPr>
      <w:rFonts w:ascii="Times New Roman" w:eastAsiaTheme="majorEastAsia" w:hAnsi="Times New Roman" w:cs="Arial"/>
      <w:b/>
      <w:sz w:val="24"/>
      <w:lang w:val="tr-TR"/>
    </w:rPr>
  </w:style>
  <w:style w:type="character" w:customStyle="1" w:styleId="Balk4Char">
    <w:name w:val="Başlık 4 Char"/>
    <w:basedOn w:val="VarsaylanParagrafYazTipi"/>
    <w:link w:val="Balk4"/>
    <w:uiPriority w:val="9"/>
    <w:semiHidden/>
    <w:rsid w:val="00AB481C"/>
    <w:rPr>
      <w:rFonts w:eastAsiaTheme="majorEastAsia" w:cstheme="majorBidi"/>
      <w:i/>
      <w:iCs/>
      <w:color w:val="0F4761" w:themeColor="accent1" w:themeShade="BF"/>
      <w:sz w:val="24"/>
      <w:lang w:val="en-US"/>
    </w:rPr>
  </w:style>
  <w:style w:type="character" w:customStyle="1" w:styleId="Balk5Char">
    <w:name w:val="Başlık 5 Char"/>
    <w:basedOn w:val="VarsaylanParagrafYazTipi"/>
    <w:link w:val="Balk5"/>
    <w:uiPriority w:val="9"/>
    <w:semiHidden/>
    <w:rsid w:val="00AB481C"/>
    <w:rPr>
      <w:rFonts w:eastAsiaTheme="majorEastAsia" w:cstheme="majorBidi"/>
      <w:color w:val="0F4761" w:themeColor="accent1" w:themeShade="BF"/>
      <w:sz w:val="24"/>
      <w:lang w:val="en-US"/>
    </w:rPr>
  </w:style>
  <w:style w:type="character" w:customStyle="1" w:styleId="Balk6Char">
    <w:name w:val="Başlık 6 Char"/>
    <w:basedOn w:val="VarsaylanParagrafYazTipi"/>
    <w:link w:val="Balk6"/>
    <w:uiPriority w:val="9"/>
    <w:semiHidden/>
    <w:rsid w:val="00AB481C"/>
    <w:rPr>
      <w:rFonts w:eastAsiaTheme="majorEastAsia" w:cstheme="majorBidi"/>
      <w:i/>
      <w:iCs/>
      <w:color w:val="595959" w:themeColor="text1" w:themeTint="A6"/>
      <w:sz w:val="24"/>
      <w:lang w:val="en-US"/>
    </w:rPr>
  </w:style>
  <w:style w:type="character" w:customStyle="1" w:styleId="Balk7Char">
    <w:name w:val="Başlık 7 Char"/>
    <w:basedOn w:val="VarsaylanParagrafYazTipi"/>
    <w:link w:val="Balk7"/>
    <w:uiPriority w:val="9"/>
    <w:semiHidden/>
    <w:rsid w:val="00AB481C"/>
    <w:rPr>
      <w:rFonts w:eastAsiaTheme="majorEastAsia" w:cstheme="majorBidi"/>
      <w:color w:val="595959" w:themeColor="text1" w:themeTint="A6"/>
      <w:sz w:val="24"/>
      <w:lang w:val="en-US"/>
    </w:rPr>
  </w:style>
  <w:style w:type="character" w:customStyle="1" w:styleId="Balk8Char">
    <w:name w:val="Başlık 8 Char"/>
    <w:basedOn w:val="VarsaylanParagrafYazTipi"/>
    <w:link w:val="Balk8"/>
    <w:uiPriority w:val="9"/>
    <w:semiHidden/>
    <w:rsid w:val="00AB481C"/>
    <w:rPr>
      <w:rFonts w:eastAsiaTheme="majorEastAsia" w:cstheme="majorBidi"/>
      <w:i/>
      <w:iCs/>
      <w:color w:val="272727" w:themeColor="text1" w:themeTint="D8"/>
      <w:sz w:val="24"/>
      <w:lang w:val="en-US"/>
    </w:rPr>
  </w:style>
  <w:style w:type="character" w:customStyle="1" w:styleId="Balk9Char">
    <w:name w:val="Başlık 9 Char"/>
    <w:basedOn w:val="VarsaylanParagrafYazTipi"/>
    <w:link w:val="Balk9"/>
    <w:uiPriority w:val="9"/>
    <w:semiHidden/>
    <w:rsid w:val="00AB481C"/>
    <w:rPr>
      <w:rFonts w:eastAsiaTheme="majorEastAsia" w:cstheme="majorBidi"/>
      <w:color w:val="272727" w:themeColor="text1" w:themeTint="D8"/>
      <w:sz w:val="24"/>
      <w:lang w:val="en-US"/>
    </w:rPr>
  </w:style>
  <w:style w:type="paragraph" w:styleId="KonuBal">
    <w:name w:val="Title"/>
    <w:basedOn w:val="Normal"/>
    <w:next w:val="Normal"/>
    <w:link w:val="KonuBalChar"/>
    <w:uiPriority w:val="10"/>
    <w:qFormat/>
    <w:rsid w:val="00AB481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481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AB48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481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AB481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B481C"/>
    <w:rPr>
      <w:rFonts w:ascii="Times New Roman" w:hAnsi="Times New Roman"/>
      <w:i/>
      <w:iCs/>
      <w:color w:val="404040" w:themeColor="text1" w:themeTint="BF"/>
      <w:sz w:val="24"/>
      <w:lang w:val="en-US"/>
    </w:rPr>
  </w:style>
  <w:style w:type="paragraph" w:styleId="ListeParagraf">
    <w:name w:val="List Paragraph"/>
    <w:basedOn w:val="Normal"/>
    <w:uiPriority w:val="34"/>
    <w:qFormat/>
    <w:rsid w:val="00AB481C"/>
    <w:pPr>
      <w:ind w:left="720"/>
      <w:contextualSpacing/>
    </w:pPr>
  </w:style>
  <w:style w:type="character" w:styleId="GlVurgulama">
    <w:name w:val="Intense Emphasis"/>
    <w:basedOn w:val="VarsaylanParagrafYazTipi"/>
    <w:uiPriority w:val="21"/>
    <w:qFormat/>
    <w:rsid w:val="00AB481C"/>
    <w:rPr>
      <w:i/>
      <w:iCs/>
      <w:color w:val="0F4761" w:themeColor="accent1" w:themeShade="BF"/>
    </w:rPr>
  </w:style>
  <w:style w:type="paragraph" w:styleId="GlAlnt">
    <w:name w:val="Intense Quote"/>
    <w:basedOn w:val="Normal"/>
    <w:next w:val="Normal"/>
    <w:link w:val="GlAlntChar"/>
    <w:uiPriority w:val="30"/>
    <w:qFormat/>
    <w:rsid w:val="00AB4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481C"/>
    <w:rPr>
      <w:rFonts w:ascii="Times New Roman" w:hAnsi="Times New Roman"/>
      <w:i/>
      <w:iCs/>
      <w:color w:val="0F4761" w:themeColor="accent1" w:themeShade="BF"/>
      <w:sz w:val="24"/>
      <w:lang w:val="en-US"/>
    </w:rPr>
  </w:style>
  <w:style w:type="character" w:styleId="GlBavuru">
    <w:name w:val="Intense Reference"/>
    <w:basedOn w:val="VarsaylanParagrafYazTipi"/>
    <w:uiPriority w:val="32"/>
    <w:qFormat/>
    <w:rsid w:val="00AB481C"/>
    <w:rPr>
      <w:b/>
      <w:bCs/>
      <w:smallCaps/>
      <w:color w:val="0F4761" w:themeColor="accent1" w:themeShade="BF"/>
      <w:spacing w:val="5"/>
    </w:rPr>
  </w:style>
  <w:style w:type="paragraph" w:styleId="AklamaMetni">
    <w:name w:val="annotation text"/>
    <w:basedOn w:val="Normal"/>
    <w:link w:val="AklamaMetniChar"/>
    <w:uiPriority w:val="99"/>
    <w:unhideWhenUsed/>
    <w:rsid w:val="0047221A"/>
    <w:pPr>
      <w:spacing w:before="0" w:after="160" w:line="240" w:lineRule="auto"/>
      <w:jc w:val="left"/>
    </w:pPr>
    <w:rPr>
      <w:rFonts w:ascii="Aptos" w:eastAsia="Aptos" w:hAnsi="Aptos" w:cs="Aptos"/>
      <w:kern w:val="0"/>
      <w:sz w:val="20"/>
      <w:szCs w:val="20"/>
      <w:lang w:val="tr" w:eastAsia="fr-CH"/>
      <w14:ligatures w14:val="none"/>
    </w:rPr>
  </w:style>
  <w:style w:type="character" w:customStyle="1" w:styleId="AklamaMetniChar">
    <w:name w:val="Açıklama Metni Char"/>
    <w:basedOn w:val="VarsaylanParagrafYazTipi"/>
    <w:link w:val="AklamaMetni"/>
    <w:uiPriority w:val="99"/>
    <w:rsid w:val="0047221A"/>
    <w:rPr>
      <w:rFonts w:ascii="Aptos" w:eastAsia="Aptos" w:hAnsi="Aptos" w:cs="Aptos"/>
      <w:kern w:val="0"/>
      <w:sz w:val="20"/>
      <w:szCs w:val="20"/>
      <w:lang w:val="tr" w:eastAsia="fr-CH"/>
      <w14:ligatures w14:val="none"/>
    </w:rPr>
  </w:style>
  <w:style w:type="character" w:styleId="AklamaBavurusu">
    <w:name w:val="annotation reference"/>
    <w:basedOn w:val="VarsaylanParagrafYazTipi"/>
    <w:uiPriority w:val="99"/>
    <w:semiHidden/>
    <w:unhideWhenUsed/>
    <w:rsid w:val="0047221A"/>
    <w:rPr>
      <w:sz w:val="16"/>
      <w:szCs w:val="16"/>
    </w:rPr>
  </w:style>
  <w:style w:type="character" w:styleId="Kpr">
    <w:name w:val="Hyperlink"/>
    <w:basedOn w:val="VarsaylanParagrafYazTipi"/>
    <w:uiPriority w:val="99"/>
    <w:unhideWhenUsed/>
    <w:rsid w:val="0047221A"/>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47221A"/>
    <w:pPr>
      <w:spacing w:before="0" w:after="0" w:line="240" w:lineRule="auto"/>
      <w:jc w:val="left"/>
    </w:pPr>
    <w:rPr>
      <w:rFonts w:ascii="Aptos" w:eastAsia="Aptos" w:hAnsi="Aptos" w:cs="Aptos"/>
      <w:kern w:val="0"/>
      <w:sz w:val="20"/>
      <w:szCs w:val="20"/>
      <w:lang w:val="tr" w:eastAsia="fr-CH"/>
      <w14:ligatures w14:val="none"/>
    </w:rPr>
  </w:style>
  <w:style w:type="character" w:customStyle="1" w:styleId="DipnotMetniChar">
    <w:name w:val="Dipnot Metni Char"/>
    <w:aliases w:val="Dipnot Metni Char Char Char Char Char,Dipnot Metni Char Char Char Char1"/>
    <w:basedOn w:val="VarsaylanParagrafYazTipi"/>
    <w:link w:val="DipnotMetni"/>
    <w:uiPriority w:val="99"/>
    <w:rsid w:val="0047221A"/>
    <w:rPr>
      <w:rFonts w:ascii="Aptos" w:eastAsia="Aptos" w:hAnsi="Aptos" w:cs="Aptos"/>
      <w:kern w:val="0"/>
      <w:sz w:val="20"/>
      <w:szCs w:val="20"/>
      <w:lang w:val="tr" w:eastAsia="fr-CH"/>
      <w14:ligatures w14:val="none"/>
    </w:rPr>
  </w:style>
  <w:style w:type="character" w:styleId="DipnotBavurusu">
    <w:name w:val="footnote reference"/>
    <w:basedOn w:val="VarsaylanParagrafYazTipi"/>
    <w:uiPriority w:val="99"/>
    <w:unhideWhenUsed/>
    <w:qFormat/>
    <w:rsid w:val="0047221A"/>
    <w:rPr>
      <w:vertAlign w:val="superscript"/>
    </w:rPr>
  </w:style>
  <w:style w:type="paragraph" w:styleId="stBilgi">
    <w:name w:val="header"/>
    <w:basedOn w:val="Normal"/>
    <w:link w:val="stBilgiChar"/>
    <w:uiPriority w:val="99"/>
    <w:unhideWhenUsed/>
    <w:rsid w:val="0047221A"/>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47221A"/>
    <w:rPr>
      <w:rFonts w:ascii="Times New Roman" w:hAnsi="Times New Roman"/>
      <w:sz w:val="24"/>
      <w:lang w:val="en-US"/>
    </w:rPr>
  </w:style>
  <w:style w:type="paragraph" w:styleId="AltBilgi">
    <w:name w:val="footer"/>
    <w:basedOn w:val="Normal"/>
    <w:link w:val="AltBilgiChar"/>
    <w:uiPriority w:val="99"/>
    <w:unhideWhenUsed/>
    <w:rsid w:val="0047221A"/>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47221A"/>
    <w:rPr>
      <w:rFonts w:ascii="Times New Roman" w:hAnsi="Times New Roman"/>
      <w:sz w:val="24"/>
      <w:lang w:val="en-US"/>
    </w:rPr>
  </w:style>
  <w:style w:type="character" w:styleId="zmlenmeyenBahsetme">
    <w:name w:val="Unresolved Mention"/>
    <w:basedOn w:val="VarsaylanParagrafYazTipi"/>
    <w:uiPriority w:val="99"/>
    <w:semiHidden/>
    <w:unhideWhenUsed/>
    <w:rsid w:val="0063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a.com.tr/tr/turkiye/feto-ile-mucadele-edenler-yuksek-yargic-oldu-/1205829" TargetMode="External"/><Relationship Id="rId13" Type="http://schemas.openxmlformats.org/officeDocument/2006/relationships/hyperlink" Target="https://www.dha.com.tr/gundem/ybd-baskani-heybet-hsk-bu-yapiyla-mucadelesini-surduruyor-1574311" TargetMode="External"/><Relationship Id="rId3" Type="http://schemas.openxmlformats.org/officeDocument/2006/relationships/hyperlink" Target="https://www.venice.coe.int/webforms/documents/default.aspx?pdffile=CDL-AD(2017)005-e" TargetMode="External"/><Relationship Id="rId7" Type="http://schemas.openxmlformats.org/officeDocument/2006/relationships/hyperlink" Target="https://www.venice.coe.int/webforms/documents/default.aspx?pdffile=CDL-AD(2024)041-e" TargetMode="External"/><Relationship Id="rId12" Type="http://schemas.openxmlformats.org/officeDocument/2006/relationships/hyperlink" Target="https://www.aa.com.tr/tr/15-temmuz-darbe-girisimi/magduriyet-algisi-ihanetin-perdelenmesi-icin-ozel-calismadir/908987" TargetMode="External"/><Relationship Id="rId17" Type="http://schemas.openxmlformats.org/officeDocument/2006/relationships/hyperlink" Target="https://justicesquare.org/wp-content/uploads/2025/10/ANAYASA-MAHKEMESININ-GUNCEL-YARGILAMALAR-KAPSAMINDA-YAPILAN-BASVURULARDA-TARAFSIZLIK-BAGIMSIZLIK-VE-ETKILILIK-SORUNSALI.pdf" TargetMode="External"/><Relationship Id="rId2" Type="http://schemas.openxmlformats.org/officeDocument/2006/relationships/hyperlink" Target="https://www.icj.org/wp-content/uploads/2016/07/Turkey-Judiciary-in-Peril-Publications-Reports-Fact-Findings-Mission-Reports-2016-ENG.pdf" TargetMode="External"/><Relationship Id="rId16" Type="http://schemas.openxmlformats.org/officeDocument/2006/relationships/hyperlink" Target="https://justicesquare.org/danistay-5-dairesi-bagimsiz-ve-tarafsiz-bir-mahkeme-degildir/" TargetMode="External"/><Relationship Id="rId1" Type="http://schemas.openxmlformats.org/officeDocument/2006/relationships/hyperlink" Target="http://www.ab.gov.tr/files/5%20Ekim/son__2016_ilerleme_raporu_tr.pdf" TargetMode="External"/><Relationship Id="rId6" Type="http://schemas.openxmlformats.org/officeDocument/2006/relationships/hyperlink" Target="https://images.transparencycdn.org/images/2020_Report_ExaminingStateCapture_English.pdf" TargetMode="External"/><Relationship Id="rId11" Type="http://schemas.openxmlformats.org/officeDocument/2006/relationships/hyperlink" Target="https://www.haberler.com/guncel/yargida-birlik-dernegi-baskani-heybet-aciklamasi-9730775-haberi/" TargetMode="External"/><Relationship Id="rId5" Type="http://schemas.openxmlformats.org/officeDocument/2006/relationships/hyperlink" Target="https://rm.coe.int/report-on-the-visit-to-turkey-by-dunja-mijatovic-council-of-europe-com/168099823e" TargetMode="External"/><Relationship Id="rId15" Type="http://schemas.openxmlformats.org/officeDocument/2006/relationships/hyperlink" Target="https://www.sabah.com.tr/gundem/2024/02/15/son-dakika-danistay-fetoden-ihrac-edilen-hakim-ve-savcilari-goreve-iade-etmisti-baskan-erdogandan-sert-tepki-sessiz-kalamayiz?paging=2" TargetMode="External"/><Relationship Id="rId10" Type="http://schemas.openxmlformats.org/officeDocument/2006/relationships/hyperlink" Target="https://www.haberler.com/feto-nun-yargi-icerisindeki-gucu-2014-te-kirildi-9748531-haberi/" TargetMode="External"/><Relationship Id="rId4" Type="http://schemas.openxmlformats.org/officeDocument/2006/relationships/hyperlink" Target="https://www.icj.org/wp-content/uploads/2018/12/Turkey-Access-to-justice-Publications-Reports-2018-TUR.pdf?utm" TargetMode="External"/><Relationship Id="rId9" Type="http://schemas.openxmlformats.org/officeDocument/2006/relationships/hyperlink" Target="https://www.denizlimuhabir.com/denizlim-danistay-uyesi-yunus-aykin-i-konuk-etti/3155" TargetMode="External"/><Relationship Id="rId14" Type="http://schemas.openxmlformats.org/officeDocument/2006/relationships/hyperlink" Target="https://www.sabah.com.tr/gundem/2024/02/12/450-hakim-savci-kriz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5EC3C-4952-449E-AB7C-359995FF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7774</Words>
  <Characters>44317</Characters>
  <DocSecurity>0</DocSecurity>
  <Lines>369</Lines>
  <Paragraphs>103</Paragraphs>
  <ScaleCrop>false</ScaleCrop>
  <Company/>
  <LinksUpToDate>false</LinksUpToDate>
  <CharactersWithSpaces>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2025-10-02T13:34:00Z</cp:lastPrinted>
  <dcterms:created xsi:type="dcterms:W3CDTF">2025-10-01T12:00:00Z</dcterms:created>
  <dcterms:modified xsi:type="dcterms:W3CDTF">2025-10-07T15:24:00Z</dcterms:modified>
</cp:coreProperties>
</file>