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5C86F" w14:textId="77777777" w:rsidR="00B72EC2" w:rsidRPr="00F24E05" w:rsidRDefault="00CB1D6C" w:rsidP="00173F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center"/>
        <w:outlineLvl w:val="0"/>
        <w:rPr>
          <w:rFonts w:ascii="Arial Narrow" w:hAnsi="Arial Narrow" w:cs="Times New Roman"/>
          <w:b/>
          <w:bCs/>
          <w:sz w:val="24"/>
          <w:szCs w:val="24"/>
          <w:u w:val="single"/>
        </w:rPr>
      </w:pPr>
      <w:r w:rsidRPr="00614020">
        <w:rPr>
          <w:rFonts w:ascii="Arial Narrow" w:hAnsi="Arial Narrow" w:cs="Times New Roman"/>
          <w:b/>
          <w:bCs/>
          <w:sz w:val="24"/>
          <w:szCs w:val="24"/>
          <w:u w:val="single"/>
        </w:rPr>
        <w:t>BAŞVURUYA</w:t>
      </w:r>
      <w:r w:rsidR="002675F6" w:rsidRPr="00614020">
        <w:rPr>
          <w:rFonts w:ascii="Arial Narrow" w:hAnsi="Arial Narrow" w:cs="Times New Roman"/>
          <w:b/>
          <w:bCs/>
          <w:sz w:val="24"/>
          <w:szCs w:val="24"/>
          <w:u w:val="single"/>
        </w:rPr>
        <w:t xml:space="preserve"> </w:t>
      </w:r>
      <w:r w:rsidR="009C2881" w:rsidRPr="00614020">
        <w:rPr>
          <w:rFonts w:ascii="Arial Narrow" w:hAnsi="Arial Narrow" w:cs="Times New Roman"/>
          <w:b/>
          <w:bCs/>
          <w:sz w:val="24"/>
          <w:szCs w:val="24"/>
          <w:u w:val="single"/>
        </w:rPr>
        <w:t>İLİŞKİN</w:t>
      </w:r>
      <w:r w:rsidR="002675F6" w:rsidRPr="00614020">
        <w:rPr>
          <w:rFonts w:ascii="Arial Narrow" w:hAnsi="Arial Narrow" w:cs="Times New Roman"/>
          <w:b/>
          <w:bCs/>
          <w:sz w:val="24"/>
          <w:szCs w:val="24"/>
          <w:u w:val="single"/>
        </w:rPr>
        <w:t xml:space="preserve"> AÇIKLAMALAR</w:t>
      </w:r>
    </w:p>
    <w:p w14:paraId="5B97237D" w14:textId="77777777" w:rsidR="00147729" w:rsidRDefault="00147729" w:rsidP="00173F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outlineLvl w:val="0"/>
        <w:rPr>
          <w:rFonts w:ascii="Arial Narrow" w:hAnsi="Arial Narrow" w:cs="Times New Roman"/>
          <w:b/>
          <w:bCs/>
          <w:sz w:val="24"/>
          <w:szCs w:val="24"/>
        </w:rPr>
      </w:pPr>
    </w:p>
    <w:p w14:paraId="50395218" w14:textId="77777777" w:rsidR="00B72EC2" w:rsidRDefault="002675F6" w:rsidP="00173F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outlineLvl w:val="0"/>
        <w:rPr>
          <w:rFonts w:ascii="Arial Narrow" w:hAnsi="Arial Narrow" w:cs="Times New Roman"/>
          <w:b/>
          <w:bCs/>
          <w:sz w:val="24"/>
          <w:szCs w:val="24"/>
        </w:rPr>
      </w:pPr>
      <w:r w:rsidRPr="00614020">
        <w:rPr>
          <w:rFonts w:ascii="Arial Narrow" w:hAnsi="Arial Narrow" w:cs="Times New Roman"/>
          <w:b/>
          <w:bCs/>
          <w:sz w:val="24"/>
          <w:szCs w:val="24"/>
        </w:rPr>
        <w:t>Başvurucu: ….</w:t>
      </w:r>
    </w:p>
    <w:p w14:paraId="420F3AD6" w14:textId="77777777" w:rsidR="00F24E05" w:rsidRPr="00F24E05" w:rsidRDefault="00F24E05" w:rsidP="00173F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outlineLvl w:val="0"/>
        <w:rPr>
          <w:rFonts w:ascii="Arial Narrow" w:hAnsi="Arial Narrow" w:cs="Times New Roman"/>
          <w:b/>
          <w:bCs/>
          <w:sz w:val="24"/>
          <w:szCs w:val="24"/>
        </w:rPr>
      </w:pPr>
    </w:p>
    <w:p w14:paraId="5D50EE98" w14:textId="77777777" w:rsidR="0035059F" w:rsidRPr="00614020" w:rsidRDefault="008C3652" w:rsidP="00173FA0">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outlineLvl w:val="0"/>
        <w:rPr>
          <w:rFonts w:ascii="Arial Narrow" w:eastAsia="Times New Roman" w:hAnsi="Arial Narrow" w:cs="Times New Roman"/>
          <w:b/>
          <w:bCs/>
          <w:sz w:val="24"/>
          <w:szCs w:val="24"/>
          <w:lang w:eastAsia="tr-TR"/>
        </w:rPr>
      </w:pPr>
      <w:r w:rsidRPr="00614020">
        <w:rPr>
          <w:rFonts w:ascii="Arial Narrow" w:eastAsia="Times New Roman" w:hAnsi="Arial Narrow" w:cs="Times New Roman"/>
          <w:b/>
          <w:bCs/>
          <w:sz w:val="24"/>
          <w:szCs w:val="24"/>
          <w:lang w:eastAsia="tr-TR"/>
        </w:rPr>
        <w:t>1</w:t>
      </w:r>
      <w:r w:rsidR="0035059F" w:rsidRPr="00614020">
        <w:rPr>
          <w:rFonts w:ascii="Arial Narrow" w:eastAsia="Times New Roman" w:hAnsi="Arial Narrow" w:cs="Times New Roman"/>
          <w:b/>
          <w:bCs/>
          <w:sz w:val="24"/>
          <w:szCs w:val="24"/>
          <w:lang w:eastAsia="tr-TR"/>
        </w:rPr>
        <w:t>) Kötü Muamele Yasağı</w:t>
      </w:r>
    </w:p>
    <w:p w14:paraId="04DE28AB" w14:textId="78D7885C" w:rsidR="00F24E05" w:rsidRDefault="00026319" w:rsidP="00173F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4"/>
          <w:szCs w:val="24"/>
        </w:rPr>
      </w:pPr>
      <w:r>
        <w:rPr>
          <w:rFonts w:ascii="Arial Narrow" w:hAnsi="Arial Narrow" w:cs="Times New Roman"/>
          <w:sz w:val="24"/>
          <w:szCs w:val="24"/>
        </w:rPr>
        <w:t>Başvurucu, g</w:t>
      </w:r>
      <w:r w:rsidR="0035059F" w:rsidRPr="00614020">
        <w:rPr>
          <w:rFonts w:ascii="Arial Narrow" w:hAnsi="Arial Narrow" w:cs="Times New Roman"/>
          <w:sz w:val="24"/>
          <w:szCs w:val="24"/>
        </w:rPr>
        <w:t>özaltındayken darp, cebir, şiddet, tehdit, küfür, uzun süre yemek vermeme, elleri arkadan kelepçeli saatlerce bekletilme, nezarethanede çok sayıda kişiyle bir araya konulmak</w:t>
      </w:r>
      <w:r w:rsidR="008C3652" w:rsidRPr="00614020">
        <w:rPr>
          <w:rFonts w:ascii="Arial Narrow" w:hAnsi="Arial Narrow" w:cs="Times New Roman"/>
          <w:sz w:val="24"/>
          <w:szCs w:val="24"/>
        </w:rPr>
        <w:t xml:space="preserve"> gözlerimin bağlanması, başıma çuval geçirilmesi</w:t>
      </w:r>
      <w:r w:rsidR="0035059F" w:rsidRPr="00614020">
        <w:rPr>
          <w:rFonts w:ascii="Arial Narrow" w:hAnsi="Arial Narrow" w:cs="Times New Roman"/>
          <w:sz w:val="24"/>
          <w:szCs w:val="24"/>
        </w:rPr>
        <w:t xml:space="preserve"> gibi </w:t>
      </w:r>
      <w:r w:rsidR="0035059F" w:rsidRPr="00614020">
        <w:rPr>
          <w:rFonts w:ascii="Arial Narrow" w:hAnsi="Arial Narrow" w:cs="Times New Roman"/>
          <w:b/>
          <w:bCs/>
          <w:i/>
          <w:sz w:val="24"/>
          <w:szCs w:val="24"/>
          <w:u w:val="single"/>
        </w:rPr>
        <w:t>(N</w:t>
      </w:r>
      <w:r w:rsidR="00B72EC2" w:rsidRPr="00614020">
        <w:rPr>
          <w:rFonts w:ascii="Arial Narrow" w:hAnsi="Arial Narrow" w:cs="Times New Roman"/>
          <w:b/>
          <w:bCs/>
          <w:i/>
          <w:sz w:val="24"/>
          <w:szCs w:val="24"/>
          <w:u w:val="single"/>
        </w:rPr>
        <w:t>eler olduğu belirtilmeli</w:t>
      </w:r>
      <w:r w:rsidR="0035059F" w:rsidRPr="00614020">
        <w:rPr>
          <w:rFonts w:ascii="Arial Narrow" w:hAnsi="Arial Narrow" w:cs="Times New Roman"/>
          <w:b/>
          <w:bCs/>
          <w:i/>
          <w:sz w:val="24"/>
          <w:szCs w:val="24"/>
          <w:u w:val="single"/>
        </w:rPr>
        <w:t>)</w:t>
      </w:r>
      <w:r w:rsidR="0035059F" w:rsidRPr="00614020">
        <w:rPr>
          <w:rFonts w:ascii="Arial Narrow" w:hAnsi="Arial Narrow" w:cs="Times New Roman"/>
          <w:sz w:val="24"/>
          <w:szCs w:val="24"/>
        </w:rPr>
        <w:t xml:space="preserve"> davranışlara maruz kal</w:t>
      </w:r>
      <w:r>
        <w:rPr>
          <w:rFonts w:ascii="Arial Narrow" w:hAnsi="Arial Narrow" w:cs="Times New Roman"/>
          <w:sz w:val="24"/>
          <w:szCs w:val="24"/>
        </w:rPr>
        <w:t>mıştır</w:t>
      </w:r>
      <w:r w:rsidR="0035059F" w:rsidRPr="00614020">
        <w:rPr>
          <w:rFonts w:ascii="Arial Narrow" w:hAnsi="Arial Narrow" w:cs="Times New Roman"/>
          <w:sz w:val="24"/>
          <w:szCs w:val="24"/>
        </w:rPr>
        <w:t>. Bu muameleleri, savunmaları</w:t>
      </w:r>
      <w:r>
        <w:rPr>
          <w:rFonts w:ascii="Arial Narrow" w:hAnsi="Arial Narrow" w:cs="Times New Roman"/>
          <w:sz w:val="24"/>
          <w:szCs w:val="24"/>
        </w:rPr>
        <w:t>n</w:t>
      </w:r>
      <w:r w:rsidR="0035059F" w:rsidRPr="00614020">
        <w:rPr>
          <w:rFonts w:ascii="Arial Narrow" w:hAnsi="Arial Narrow" w:cs="Times New Roman"/>
          <w:sz w:val="24"/>
          <w:szCs w:val="24"/>
        </w:rPr>
        <w:t>da ve dilekçeleri</w:t>
      </w:r>
      <w:r>
        <w:rPr>
          <w:rFonts w:ascii="Arial Narrow" w:hAnsi="Arial Narrow" w:cs="Times New Roman"/>
          <w:sz w:val="24"/>
          <w:szCs w:val="24"/>
        </w:rPr>
        <w:t>n</w:t>
      </w:r>
      <w:r w:rsidR="0035059F" w:rsidRPr="00614020">
        <w:rPr>
          <w:rFonts w:ascii="Arial Narrow" w:hAnsi="Arial Narrow" w:cs="Times New Roman"/>
          <w:sz w:val="24"/>
          <w:szCs w:val="24"/>
        </w:rPr>
        <w:t>de dile getirme</w:t>
      </w:r>
      <w:r>
        <w:rPr>
          <w:rFonts w:ascii="Arial Narrow" w:hAnsi="Arial Narrow" w:cs="Times New Roman"/>
          <w:sz w:val="24"/>
          <w:szCs w:val="24"/>
        </w:rPr>
        <w:t xml:space="preserve">sine </w:t>
      </w:r>
      <w:r w:rsidR="0035059F" w:rsidRPr="00614020">
        <w:rPr>
          <w:rFonts w:ascii="Arial Narrow" w:hAnsi="Arial Narrow" w:cs="Times New Roman"/>
          <w:sz w:val="24"/>
          <w:szCs w:val="24"/>
        </w:rPr>
        <w:t xml:space="preserve">rağmen; ilgili yargı makamları, sorumlular hakkında herhangi bir suç duyurusunda bulunmamışlardır. </w:t>
      </w:r>
      <w:r w:rsidR="008C3652" w:rsidRPr="00614020">
        <w:rPr>
          <w:rFonts w:ascii="Arial Narrow" w:hAnsi="Arial Narrow" w:cs="Times New Roman"/>
          <w:sz w:val="24"/>
          <w:szCs w:val="24"/>
        </w:rPr>
        <w:t>Kamu görevlileri eliyle kötü muameleye uğramam ve bu husus, kamu makamlarının dikkatine sunulmasına rağmen; sorumlu kişilerin tespit edilmesine ve cezalandırılmasına yönelik bir soruşturma başlatılmaması nedeniyle kötü muamele yasağı ihlal edilmiştir</w:t>
      </w:r>
      <w:r w:rsidR="00F24E05">
        <w:rPr>
          <w:rFonts w:ascii="Arial Narrow" w:hAnsi="Arial Narrow" w:cs="Times New Roman"/>
          <w:sz w:val="24"/>
          <w:szCs w:val="24"/>
        </w:rPr>
        <w:t>.</w:t>
      </w:r>
    </w:p>
    <w:p w14:paraId="59CAEDBA" w14:textId="77777777" w:rsidR="00F24E05" w:rsidRDefault="008C3652" w:rsidP="00173F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4"/>
          <w:szCs w:val="24"/>
        </w:rPr>
      </w:pPr>
      <w:r w:rsidRPr="00614020">
        <w:rPr>
          <w:rFonts w:ascii="Arial Narrow" w:eastAsia="Times New Roman" w:hAnsi="Arial Narrow" w:cs="Times New Roman"/>
          <w:b/>
          <w:bCs/>
          <w:sz w:val="24"/>
          <w:szCs w:val="24"/>
          <w:lang w:eastAsia="tr-TR"/>
        </w:rPr>
        <w:t>2</w:t>
      </w:r>
      <w:r w:rsidR="0035059F" w:rsidRPr="00614020">
        <w:rPr>
          <w:rFonts w:ascii="Arial Narrow" w:eastAsia="Times New Roman" w:hAnsi="Arial Narrow" w:cs="Times New Roman"/>
          <w:b/>
          <w:bCs/>
          <w:sz w:val="24"/>
          <w:szCs w:val="24"/>
          <w:lang w:eastAsia="tr-TR"/>
        </w:rPr>
        <w:t>) Bağımsız ve Tarafsız Mahkemede Yargılanma Hakkı</w:t>
      </w:r>
    </w:p>
    <w:p w14:paraId="23729A8B" w14:textId="5AD33FA8" w:rsidR="00160C47" w:rsidRPr="00EA091C" w:rsidRDefault="00160C47" w:rsidP="002A19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eastAsia="Times New Roman" w:hAnsi="Arial Narrow" w:cs="Times New Roman"/>
          <w:b/>
          <w:bCs/>
          <w:sz w:val="24"/>
          <w:szCs w:val="24"/>
          <w:lang w:eastAsia="tr-TR"/>
        </w:rPr>
      </w:pPr>
      <w:r w:rsidRPr="00EA091C">
        <w:rPr>
          <w:rFonts w:ascii="Arial Narrow" w:hAnsi="Arial Narrow" w:cs="Times New Roman"/>
          <w:sz w:val="24"/>
          <w:szCs w:val="24"/>
        </w:rPr>
        <w:t>2014 ve 2016 tarihinde çıkartılan 6524 ile 6723 sayılı Yasalarla üyeler de dâhil olmak üzere HSYK'da çalışan bütün hakim ve savcıların ve Yargıtay ve Danıştay üyelerinin görevleri sonlandırılmış; 2017’de yapılan Anayasa değişikliğiyle HSK’ya üye seçme yetkisi partili Cumhurbaşkanı ile Cumhurbaşkanının partisinin hakimiyetinde olan TBMM’ye verilmiştir. HSK’nın; İlk derece ve istinaf mahkemelerindeki her türlü atama, terfi ve yetkilendirmeleri yapma ve Yargıtay üyelerinin tamamı ile Danıştay üyelerinin ¾’ünü seçme yetkisine sahip olduğu düşünüldüğünde, yargıdaki her türlü atama, tayin ve yetkilendirmenin, yasama ve yürütmeye karşı hiçbir bağımsızlık teminatı olmayan HSK tarafından gerçekleştirildiği görülecektir. Yani, yapılan değişiklikler sonrası yargı sistemi, yasama ve yürütmenin isteği doğrultusunda tekrar şekillendirilmiştir</w:t>
      </w:r>
      <w:r w:rsidRPr="00EA091C">
        <w:rPr>
          <w:rFonts w:ascii="Arial Narrow" w:hAnsi="Arial Narrow" w:cs="Times New Roman"/>
          <w:sz w:val="23"/>
          <w:szCs w:val="23"/>
        </w:rPr>
        <w:t>.</w:t>
      </w:r>
      <w:r>
        <w:rPr>
          <w:rStyle w:val="DipnotBavurusu"/>
          <w:sz w:val="23"/>
          <w:szCs w:val="23"/>
        </w:rPr>
        <w:footnoteReference w:id="1"/>
      </w:r>
      <w:r w:rsidRPr="00EA091C">
        <w:rPr>
          <w:rFonts w:ascii="Arial Narrow" w:hAnsi="Arial Narrow" w:cs="Times New Roman"/>
          <w:sz w:val="23"/>
          <w:szCs w:val="23"/>
        </w:rPr>
        <w:t xml:space="preserve"> </w:t>
      </w:r>
      <w:r w:rsidRPr="00EA091C">
        <w:rPr>
          <w:rFonts w:ascii="Arial Narrow" w:hAnsi="Arial Narrow" w:cs="Times New Roman"/>
          <w:sz w:val="24"/>
          <w:szCs w:val="24"/>
        </w:rPr>
        <w:t>Ayrıca, 667 sayılı KHK'nın 3. maddesi ile HSYK'ya hakimlerin azledilemezliği ilkesine aykırı şekilde yargı mensuplarını görevden alma yetkisi verilmiş ve binlerce yargı mensubu bu kapsamda ihraç edilmiştir. Yasal değişiklikler ve uygulamaları nedeniyle HSYK, ilk derece ve istinaf mahkemeleri ile Yargıtay tarafsızlık ve bağımsızlıklarını kaybetmiştir. Son olarak, yürütmenin talebiyle uyumlu karar vermeyen ve bu bağlamda hukukun gereği olsa dahi suçlanan bir kişi lehine  karar alan yargı mensupları soruşturmalara maruz bırakılmış, görev yerleri değiştirilmiş ve meslekten ihraç gibi yaptırımlara maruz kalmışlardır. Human Rights Defenders tarafından hazırlanan “Ceza Yargılamalarında Görev Yapan Birinci, İkinci ve Üçüncü Derece Mahkemelerin “Kanunla Önceden Kurulmuş, Bağımsız ve Tarafsızlık” Niteliklerinden Yoksun Oluşuna Dair Somut Olay ve Olgulara Dayalı Rapor”da</w:t>
      </w:r>
      <w:r w:rsidRPr="00EA091C">
        <w:rPr>
          <w:rStyle w:val="DipnotBavurusu"/>
          <w:rFonts w:ascii="Arial Narrow" w:hAnsi="Arial Narrow"/>
          <w:sz w:val="24"/>
          <w:szCs w:val="24"/>
        </w:rPr>
        <w:footnoteReference w:id="2"/>
      </w:r>
      <w:r w:rsidRPr="00EA091C">
        <w:rPr>
          <w:rFonts w:ascii="Arial Narrow" w:hAnsi="Arial Narrow" w:cs="Times New Roman"/>
          <w:sz w:val="24"/>
          <w:szCs w:val="24"/>
        </w:rPr>
        <w:t>, mahkemelerin bağımsızlık ve tarafsızlık özelliğini kaybettiği yaşanmış örneklerden hareketle açıklanmaktadır.  Başvuruya konu olayda da, yargılama yapan hakimler dış baskılara karşı güvencelere sahip olmadıkları gibi mevzuata açıkça aykırı ve ön yargılı verdikleri kararlarıyla bağımsız görüntü sergileyememişlerdir ve bu suretle, tarafsız ve bağımsız hareket edemeyeceklerini göstermişlerdir.</w:t>
      </w:r>
    </w:p>
    <w:p w14:paraId="68F7BCE7" w14:textId="77777777" w:rsidR="00954ACB" w:rsidRPr="00614020" w:rsidRDefault="00D64D5A" w:rsidP="00173FA0">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outlineLvl w:val="0"/>
        <w:rPr>
          <w:rFonts w:ascii="Arial Narrow" w:eastAsia="Times New Roman" w:hAnsi="Arial Narrow" w:cs="Times New Roman"/>
          <w:b/>
          <w:bCs/>
          <w:sz w:val="24"/>
          <w:szCs w:val="24"/>
          <w:lang w:eastAsia="tr-TR"/>
        </w:rPr>
      </w:pPr>
      <w:r w:rsidRPr="00614020">
        <w:rPr>
          <w:rFonts w:ascii="Arial Narrow" w:eastAsia="Times New Roman" w:hAnsi="Arial Narrow" w:cs="Times New Roman"/>
          <w:b/>
          <w:bCs/>
          <w:sz w:val="24"/>
          <w:szCs w:val="24"/>
          <w:lang w:eastAsia="tr-TR"/>
        </w:rPr>
        <w:lastRenderedPageBreak/>
        <w:t>3</w:t>
      </w:r>
      <w:r w:rsidR="00954ACB" w:rsidRPr="00614020">
        <w:rPr>
          <w:rFonts w:ascii="Arial Narrow" w:eastAsia="Times New Roman" w:hAnsi="Arial Narrow" w:cs="Times New Roman"/>
          <w:b/>
          <w:bCs/>
          <w:sz w:val="24"/>
          <w:szCs w:val="24"/>
          <w:lang w:eastAsia="tr-TR"/>
        </w:rPr>
        <w:t>) Bylock Bilgilerinin Yargılamada Kullanılması</w:t>
      </w:r>
    </w:p>
    <w:p w14:paraId="0316DD03" w14:textId="77777777" w:rsidR="00954ACB" w:rsidRPr="00614020" w:rsidRDefault="00954ACB" w:rsidP="00173F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eastAsia="Arial" w:hAnsi="Arial Narrow" w:cs="Times New Roman"/>
          <w:sz w:val="24"/>
          <w:szCs w:val="24"/>
        </w:rPr>
      </w:pPr>
      <w:r w:rsidRPr="00614020">
        <w:rPr>
          <w:rFonts w:ascii="Arial Narrow" w:eastAsia="Arial" w:hAnsi="Arial Narrow" w:cs="Times New Roman"/>
          <w:sz w:val="24"/>
          <w:szCs w:val="24"/>
        </w:rPr>
        <w:t>Yargıtay 16. Ceza Dairesi</w:t>
      </w:r>
      <w:r w:rsidRPr="00614020">
        <w:rPr>
          <w:rStyle w:val="DipnotBavurusu"/>
          <w:rFonts w:ascii="Arial Narrow" w:eastAsia="Arial" w:hAnsi="Arial Narrow"/>
          <w:sz w:val="24"/>
          <w:szCs w:val="24"/>
        </w:rPr>
        <w:footnoteReference w:id="3"/>
      </w:r>
      <w:r w:rsidRPr="00614020">
        <w:rPr>
          <w:rFonts w:ascii="Arial Narrow" w:eastAsia="Arial" w:hAnsi="Arial Narrow" w:cs="Times New Roman"/>
          <w:sz w:val="24"/>
          <w:szCs w:val="24"/>
        </w:rPr>
        <w:t xml:space="preserve"> ve Yargıtay Ceza Genel Kurulu</w:t>
      </w:r>
      <w:r w:rsidRPr="00614020">
        <w:rPr>
          <w:rStyle w:val="DipnotBavurusu"/>
          <w:rFonts w:ascii="Arial Narrow" w:eastAsia="Arial" w:hAnsi="Arial Narrow"/>
          <w:sz w:val="24"/>
          <w:szCs w:val="24"/>
        </w:rPr>
        <w:footnoteReference w:id="4"/>
      </w:r>
      <w:r w:rsidRPr="00614020">
        <w:rPr>
          <w:rFonts w:ascii="Arial Narrow" w:eastAsia="Arial" w:hAnsi="Arial Narrow" w:cs="Times New Roman"/>
          <w:sz w:val="24"/>
          <w:szCs w:val="24"/>
        </w:rPr>
        <w:t xml:space="preserve"> Bylock’un CMK’nın 134. maddesine uygun olarak elde edildiğini kabul etmişler ve bu kabulden sonra yerel mahkemeler konuyla ilgili hiçbir araştırma yapmadan ve bu kararlara atıf yapmak suretiyle mahkûmiyet kararları vermişlerdir.</w:t>
      </w:r>
    </w:p>
    <w:p w14:paraId="1F296F91" w14:textId="77777777" w:rsidR="00954ACB" w:rsidRPr="00614020" w:rsidRDefault="00954ACB" w:rsidP="00173F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eastAsia="Arial" w:hAnsi="Arial Narrow" w:cs="Times New Roman"/>
          <w:sz w:val="24"/>
          <w:szCs w:val="24"/>
        </w:rPr>
      </w:pPr>
      <w:r w:rsidRPr="00614020">
        <w:rPr>
          <w:rFonts w:ascii="Arial Narrow" w:eastAsia="Arial" w:hAnsi="Arial Narrow" w:cs="Times New Roman"/>
          <w:sz w:val="24"/>
          <w:szCs w:val="24"/>
        </w:rPr>
        <w:t>Bununla birlikte bu kabuller mevzuata ve Yargıtay’ın yerleşik içtihatlarına uygun değildir.</w:t>
      </w:r>
    </w:p>
    <w:p w14:paraId="13A9DF5A" w14:textId="77777777" w:rsidR="00954ACB" w:rsidRPr="00614020" w:rsidRDefault="00954ACB" w:rsidP="00173FA0">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outlineLvl w:val="0"/>
        <w:rPr>
          <w:rFonts w:ascii="Arial Narrow" w:hAnsi="Arial Narrow" w:cs="Times New Roman"/>
          <w:b/>
          <w:i/>
          <w:sz w:val="24"/>
          <w:szCs w:val="24"/>
        </w:rPr>
      </w:pPr>
      <w:r w:rsidRPr="00614020">
        <w:rPr>
          <w:rFonts w:ascii="Arial Narrow" w:hAnsi="Arial Narrow" w:cs="Times New Roman"/>
          <w:b/>
          <w:i/>
          <w:sz w:val="24"/>
          <w:szCs w:val="24"/>
        </w:rPr>
        <w:t xml:space="preserve">a. Sunucu Elde Edildiği Sırada Bylock İle İlgili Bir Soruşturma Var Mıdır? </w:t>
      </w:r>
    </w:p>
    <w:p w14:paraId="76EA49B9" w14:textId="77777777" w:rsidR="00954ACB" w:rsidRPr="00614020" w:rsidRDefault="00954ACB" w:rsidP="00173FA0">
      <w:pPr>
        <w:autoSpaceDE w:val="0"/>
        <w:autoSpaceDN w:val="0"/>
        <w:adjustRightInd w:val="0"/>
        <w:spacing w:after="120"/>
        <w:ind w:right="-22"/>
        <w:jc w:val="both"/>
        <w:textAlignment w:val="center"/>
        <w:rPr>
          <w:rFonts w:ascii="Arial Narrow" w:hAnsi="Arial Narrow" w:cs="Times New Roman"/>
          <w:sz w:val="24"/>
          <w:szCs w:val="24"/>
        </w:rPr>
      </w:pPr>
      <w:r w:rsidRPr="00614020">
        <w:rPr>
          <w:rFonts w:ascii="Arial Narrow" w:hAnsi="Arial Narrow" w:cs="Times New Roman"/>
          <w:sz w:val="24"/>
          <w:szCs w:val="24"/>
        </w:rPr>
        <w:t>Bilgisayar, programları ve kütükleri üzerinde CMK’nın 134. maddesinde yer verilen tedbirlere başvurulabilmesi için öncelikle usulüne uygun başlatılmış bir adli soruşturma bulunmalıdır.</w:t>
      </w:r>
    </w:p>
    <w:p w14:paraId="151B29BB" w14:textId="77777777" w:rsidR="00954ACB" w:rsidRPr="00614020" w:rsidRDefault="00954ACB" w:rsidP="00173FA0">
      <w:pPr>
        <w:autoSpaceDE w:val="0"/>
        <w:autoSpaceDN w:val="0"/>
        <w:adjustRightInd w:val="0"/>
        <w:spacing w:after="120"/>
        <w:ind w:right="-22"/>
        <w:jc w:val="both"/>
        <w:textAlignment w:val="center"/>
        <w:rPr>
          <w:rFonts w:ascii="Arial Narrow" w:hAnsi="Arial Narrow" w:cs="Times New Roman"/>
          <w:sz w:val="24"/>
          <w:szCs w:val="24"/>
        </w:rPr>
      </w:pPr>
      <w:r w:rsidRPr="00614020">
        <w:rPr>
          <w:rFonts w:ascii="Arial Narrow" w:hAnsi="Arial Narrow" w:cs="Times New Roman"/>
          <w:sz w:val="24"/>
          <w:szCs w:val="24"/>
        </w:rPr>
        <w:t>Yargıtay 16. Ceza Dairesinin Bylock’la ilgili verdiği karara göre; içinde Bylock bilgilerinin bulunduğu dijital malzemelerin MİT tarafından teslimi üzerine Ankara C. Başsavcılığınca soruşturma başlatılmış (Soruşturma No. 2016/104109) ve bu soruşturma numarası üzerinden 09/12/2016 tarihinde dijital malzemelerden kopya çıkarılması ve imaj alma işlemi için Ankara 4. Sulh Ceza Hakimliğinden talepte bulunulmuştur. Bylock’un sonradan dâhil edildiği soruşturmanın başlangıç tarihi ise 18/07/2016’dır. Bunun anlamı, Bylock’un MİT tarafından ele geçirilmesinden altı ay sonra başlatılmış bir soruşturmaya, bu soruşturmanın başlamasından beş ay sonra dâhil edildiği, yani soruşturma olmadan ele geçirilen Bylock bilgilerinin ele geçirilmelerinden aylar sonra başlatılan bir soruşturmaya dâhil edildiğidir. Bu suretle, CMK’da öngörülen soruşturma usulü tersine çevrilmiştir.</w:t>
      </w:r>
    </w:p>
    <w:p w14:paraId="4E1CB796" w14:textId="77777777" w:rsidR="00954ACB" w:rsidRPr="00614020" w:rsidRDefault="00954ACB" w:rsidP="00173FA0">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outlineLvl w:val="0"/>
        <w:rPr>
          <w:rFonts w:ascii="Arial Narrow" w:hAnsi="Arial Narrow" w:cs="Times New Roman"/>
          <w:b/>
          <w:i/>
          <w:sz w:val="24"/>
          <w:szCs w:val="24"/>
        </w:rPr>
      </w:pPr>
      <w:r w:rsidRPr="00614020">
        <w:rPr>
          <w:rFonts w:ascii="Arial Narrow" w:hAnsi="Arial Narrow" w:cs="Times New Roman"/>
          <w:b/>
          <w:i/>
          <w:sz w:val="24"/>
          <w:szCs w:val="24"/>
        </w:rPr>
        <w:t>b. Sunucuda Arama Yapılabilmesi İçin Verilmiş Bir Hâkim Kararı Var Mıdır?</w:t>
      </w:r>
    </w:p>
    <w:p w14:paraId="3EBBC85D" w14:textId="77777777" w:rsidR="00954ACB" w:rsidRPr="00614020" w:rsidRDefault="00954ACB" w:rsidP="00173F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eastAsia="Arial" w:hAnsi="Arial Narrow" w:cs="Times New Roman"/>
          <w:sz w:val="24"/>
          <w:szCs w:val="24"/>
        </w:rPr>
      </w:pPr>
      <w:r w:rsidRPr="00614020">
        <w:rPr>
          <w:rFonts w:ascii="Arial Narrow" w:hAnsi="Arial Narrow" w:cs="Times New Roman"/>
          <w:sz w:val="24"/>
          <w:szCs w:val="24"/>
        </w:rPr>
        <w:t>MİT’in hazırladığı Teknik Raporda bu konuda verilmiş bir karardan bahsedilmediği gibi, yapılan çalışmanın 2937 sayılı Kanun’un MİT’e verdiği yetkiye istinaden yapıldığı belirtilmiştir. Aynı şekilde, konuyla ilgili Yargıtay kararlarında da, ele geçirilen Bylock bilgilerinin MİT’in yaptığı istihbari çalışma sonucu elde edildiği belirtilerek bu konuda verilmiş bir karara atıf yapılmamıştır.</w:t>
      </w:r>
      <w:r w:rsidRPr="00614020">
        <w:rPr>
          <w:rStyle w:val="DipnotBavurusu"/>
          <w:rFonts w:ascii="Arial Narrow" w:hAnsi="Arial Narrow"/>
          <w:sz w:val="24"/>
          <w:szCs w:val="24"/>
        </w:rPr>
        <w:footnoteReference w:id="5"/>
      </w:r>
    </w:p>
    <w:p w14:paraId="45026D94" w14:textId="77777777" w:rsidR="00954ACB" w:rsidRPr="00614020" w:rsidRDefault="00954ACB" w:rsidP="00173F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4"/>
          <w:szCs w:val="24"/>
        </w:rPr>
      </w:pPr>
      <w:r w:rsidRPr="00614020">
        <w:rPr>
          <w:rFonts w:ascii="Arial Narrow" w:hAnsi="Arial Narrow" w:cs="Times New Roman"/>
          <w:sz w:val="24"/>
          <w:szCs w:val="24"/>
        </w:rPr>
        <w:t>Yargıtay Ceza Genel Kurulu Bylock ile ilgili 16. Ceza Dairesinin verdiği ilk kararın temyiz incelemesini yaptığı dosyada;</w:t>
      </w:r>
      <w:r w:rsidRPr="00614020">
        <w:rPr>
          <w:rFonts w:ascii="Arial Narrow" w:hAnsi="Arial Narrow" w:cs="Times New Roman"/>
          <w:sz w:val="24"/>
          <w:szCs w:val="24"/>
          <w:vertAlign w:val="superscript"/>
        </w:rPr>
        <w:footnoteReference w:id="6"/>
      </w:r>
      <w:r w:rsidRPr="00614020">
        <w:rPr>
          <w:rFonts w:ascii="Arial Narrow" w:hAnsi="Arial Narrow" w:cs="Times New Roman"/>
          <w:sz w:val="24"/>
          <w:szCs w:val="24"/>
        </w:rPr>
        <w:t xml:space="preserve"> </w:t>
      </w:r>
      <w:r w:rsidRPr="00614020">
        <w:rPr>
          <w:rFonts w:ascii="Arial Narrow" w:hAnsi="Arial Narrow" w:cs="Times New Roman"/>
          <w:i/>
          <w:iCs/>
          <w:sz w:val="24"/>
          <w:szCs w:val="24"/>
        </w:rPr>
        <w:t xml:space="preserve">“... MİT’in yasal yetkisi çerçevesinde temin ettiği Bylock veri tabanı üzerinde CMK’nın 134üncü maddesi gereğince </w:t>
      </w:r>
      <w:r w:rsidRPr="00614020">
        <w:rPr>
          <w:rFonts w:ascii="Arial Narrow" w:hAnsi="Arial Narrow" w:cs="Times New Roman"/>
          <w:b/>
          <w:i/>
          <w:iCs/>
          <w:sz w:val="24"/>
          <w:szCs w:val="24"/>
        </w:rPr>
        <w:t>geçmişe dönük olarak uygulanan arama tedbirinin</w:t>
      </w:r>
      <w:r w:rsidRPr="00614020">
        <w:rPr>
          <w:rFonts w:ascii="Arial Narrow" w:hAnsi="Arial Narrow" w:cs="Times New Roman"/>
          <w:i/>
          <w:iCs/>
          <w:sz w:val="24"/>
          <w:szCs w:val="24"/>
        </w:rPr>
        <w:t xml:space="preserve">; “demokratik bir ülkede gereklilik” ve “orantılılık” ilkelerine uygun olduğu kuşkusuzdur” </w:t>
      </w:r>
      <w:r w:rsidRPr="00614020">
        <w:rPr>
          <w:rFonts w:ascii="Arial Narrow" w:hAnsi="Arial Narrow" w:cs="Times New Roman"/>
          <w:sz w:val="24"/>
          <w:szCs w:val="24"/>
        </w:rPr>
        <w:t xml:space="preserve">demiştir. Kararda yer verilen ve geçmişe dönük olarak uygulandığı belirtilen hakim kararı 09/12/2016 tarihinde Ankara 4. Sulh Ceza Hakimliği tarafından verilmiştir (2016/6774 D. İş). </w:t>
      </w:r>
    </w:p>
    <w:p w14:paraId="09329FC9" w14:textId="77777777" w:rsidR="00954ACB" w:rsidRPr="00614020" w:rsidRDefault="00954ACB" w:rsidP="00173F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4"/>
          <w:szCs w:val="24"/>
        </w:rPr>
      </w:pPr>
      <w:r w:rsidRPr="00614020">
        <w:rPr>
          <w:rFonts w:ascii="Arial Narrow" w:hAnsi="Arial Narrow" w:cs="Times New Roman"/>
          <w:sz w:val="24"/>
          <w:szCs w:val="24"/>
        </w:rPr>
        <w:t>Karar tarihinden de anlaşılacağı üzere; MİT tarafından 2016 yılı Ocak ayında elde edilip üzerinde çalışma yapılan ve MİT’in 04/04/2017 tarihli basın açıklamasında belirttiği şekliyle Mayıs 2016 itibariyle resmi kurumlarla paylaşılan Bylock verileriyle ilgili arama kararı, neredeyse bu bilgi ve verilerin elde edilmesinden on bir ay sonra verilmiştir. Yani, CMK’nın 134. maddesi gereğince Bylock bilgileri elde edilmeden önce Bylock sunucusunda arama yapılmasına ilişkin verilmiş bir hâkim kararı bulunmamaktadır. Ayrıca, Ceza Genel Kurulu karında yer verildiği şekliyle CMK’da geçmişe dönük arama usulü de bulunmadığı gibi arama kararı geçmişe değil geleceğe etkili sonuç doğurur. Zira verilen arama kararı ve bu kararın icrası sonucu elde edilecek dijital materyal üzerinde kopyalama ve el koyma işlemi yapılabilir.</w:t>
      </w:r>
    </w:p>
    <w:p w14:paraId="76288D66" w14:textId="77777777" w:rsidR="00954ACB" w:rsidRPr="00614020" w:rsidRDefault="00954ACB" w:rsidP="00173F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4"/>
          <w:szCs w:val="24"/>
        </w:rPr>
      </w:pPr>
      <w:r w:rsidRPr="00614020">
        <w:rPr>
          <w:rFonts w:ascii="Arial Narrow" w:hAnsi="Arial Narrow" w:cs="Times New Roman"/>
          <w:sz w:val="24"/>
          <w:szCs w:val="24"/>
        </w:rPr>
        <w:lastRenderedPageBreak/>
        <w:t xml:space="preserve">Kısaca, soruşturma koşulu gibi Bylock verilerinin elde edilme işlemleri de tersinden yapılmıştır. Yani, söz konusu verilerin bulunduğu hard disk ve flash belleğe hakim kararı olmadan MİT tarafından 134/2. maddesi gereğince önce </w:t>
      </w:r>
      <w:r w:rsidRPr="00614020">
        <w:rPr>
          <w:rFonts w:ascii="Arial Narrow" w:hAnsi="Arial Narrow" w:cs="Times New Roman"/>
          <w:b/>
          <w:sz w:val="24"/>
          <w:szCs w:val="24"/>
        </w:rPr>
        <w:t xml:space="preserve">el koyma </w:t>
      </w:r>
      <w:r w:rsidRPr="00614020">
        <w:rPr>
          <w:rFonts w:ascii="Arial Narrow" w:hAnsi="Arial Narrow" w:cs="Times New Roman"/>
          <w:sz w:val="24"/>
          <w:szCs w:val="24"/>
        </w:rPr>
        <w:t xml:space="preserve">tedbiri uygulanmış, sonra da maddenin 1. fıkrasındaki </w:t>
      </w:r>
      <w:r w:rsidRPr="00614020">
        <w:rPr>
          <w:rFonts w:ascii="Arial Narrow" w:hAnsi="Arial Narrow" w:cs="Times New Roman"/>
          <w:b/>
          <w:sz w:val="24"/>
          <w:szCs w:val="24"/>
        </w:rPr>
        <w:t xml:space="preserve">arama </w:t>
      </w:r>
      <w:r w:rsidRPr="00614020">
        <w:rPr>
          <w:rFonts w:ascii="Arial Narrow" w:hAnsi="Arial Narrow" w:cs="Times New Roman"/>
          <w:sz w:val="24"/>
          <w:szCs w:val="24"/>
        </w:rPr>
        <w:t>tedbiri gerçekleştirilmiştir.</w:t>
      </w:r>
    </w:p>
    <w:p w14:paraId="0CC588C7" w14:textId="77777777" w:rsidR="00954ACB" w:rsidRPr="00614020" w:rsidRDefault="00954ACB" w:rsidP="00173FA0">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outlineLvl w:val="0"/>
        <w:rPr>
          <w:rFonts w:ascii="Arial Narrow" w:hAnsi="Arial Narrow" w:cs="Times New Roman"/>
          <w:b/>
          <w:i/>
          <w:sz w:val="24"/>
          <w:szCs w:val="24"/>
        </w:rPr>
      </w:pPr>
      <w:r w:rsidRPr="00614020">
        <w:rPr>
          <w:rFonts w:ascii="Arial Narrow" w:hAnsi="Arial Narrow" w:cs="Times New Roman"/>
          <w:b/>
          <w:i/>
          <w:sz w:val="24"/>
          <w:szCs w:val="24"/>
        </w:rPr>
        <w:t>c. Bylock Sunucusundan Usulüne Uygun İmaj Alınmış Mıdır?</w:t>
      </w:r>
    </w:p>
    <w:p w14:paraId="111D048D" w14:textId="77777777" w:rsidR="00954ACB" w:rsidRPr="00614020" w:rsidRDefault="00954ACB" w:rsidP="00173F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4"/>
          <w:szCs w:val="24"/>
        </w:rPr>
      </w:pPr>
      <w:r w:rsidRPr="00614020">
        <w:rPr>
          <w:rFonts w:ascii="Arial Narrow" w:hAnsi="Arial Narrow" w:cs="Times New Roman"/>
          <w:sz w:val="24"/>
          <w:szCs w:val="24"/>
        </w:rPr>
        <w:t xml:space="preserve">MİT’in hazırladığı Teknik Raporda ve hazırlanan tutanaklarda Bylock bilgilerinin ele geçirilmesi sırasında Bylock sunucusunun bağlı olduğu ana bilgisayardan imaj alındığına ilişkin bir bilgiye ve verilerin elde ediliş yöntemine yer verilmemiştir. Raporda, imaj alma işlemine hiç yer verilmeyip istihbari gerekçeler ileri sürülerek bilgilerin elde ediliş yöntemi dahi gizlenmiştir. MİT, Bylock sunucunun ele geçirilmesine ilişkin çalışmasını istihbari faaliyet kapsamında yapmış ve bilgileri </w:t>
      </w:r>
      <w:r w:rsidRPr="00614020">
        <w:rPr>
          <w:rFonts w:ascii="Arial Narrow" w:hAnsi="Arial Narrow" w:cs="Times New Roman"/>
          <w:i/>
          <w:iCs/>
          <w:sz w:val="24"/>
          <w:szCs w:val="24"/>
        </w:rPr>
        <w:t xml:space="preserve">“hassas” </w:t>
      </w:r>
      <w:r w:rsidRPr="00614020">
        <w:rPr>
          <w:rFonts w:ascii="Arial Narrow" w:hAnsi="Arial Narrow" w:cs="Times New Roman"/>
          <w:sz w:val="24"/>
          <w:szCs w:val="24"/>
        </w:rPr>
        <w:t>yöntem olarak adlandırdığı hackerlik (bilgisayar korsanlığı) yoluyla ele geçirmiştir.</w:t>
      </w:r>
    </w:p>
    <w:p w14:paraId="214448ED" w14:textId="3FE9722A" w:rsidR="00147729" w:rsidRPr="00614020" w:rsidRDefault="00954ACB" w:rsidP="00173F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4"/>
          <w:szCs w:val="24"/>
        </w:rPr>
      </w:pPr>
      <w:r w:rsidRPr="00614020">
        <w:rPr>
          <w:rFonts w:ascii="Arial Narrow" w:hAnsi="Arial Narrow" w:cs="Times New Roman"/>
          <w:sz w:val="24"/>
          <w:szCs w:val="24"/>
        </w:rPr>
        <w:t xml:space="preserve">Sunucuya ve veri tabanına hâkim kararı olmadan müdahale edildiğinden uygulamanın bütünlüğü, gizliliği, doğruluğu kaybolmuş, uygulama sunucusuna ve veri tabanına veri ekleme, silme ve çıkarma işlemlerinin yapılabilmesi mümkün hale gelmiş ve elde edilen bilgilerin güvenilirliği ortadan kalkmıştır. Kaldı ki bu konuda Ankara C.Başsavcılığı tarafından 2016/104109 soruşturma numaralı dosya kapsamında aldırılan 12/7/2017 tarihli bilirkişi raporunda da, </w:t>
      </w:r>
      <w:r w:rsidRPr="00614020">
        <w:rPr>
          <w:rFonts w:ascii="Arial Narrow" w:hAnsi="Arial Narrow" w:cs="Times New Roman"/>
          <w:b/>
          <w:bCs/>
          <w:sz w:val="24"/>
          <w:szCs w:val="24"/>
        </w:rPr>
        <w:t>Bylock veri tabanının yapısının bozuk olduğu</w:t>
      </w:r>
      <w:r w:rsidRPr="00614020">
        <w:rPr>
          <w:rFonts w:ascii="Arial Narrow" w:hAnsi="Arial Narrow" w:cs="Times New Roman"/>
          <w:sz w:val="24"/>
          <w:szCs w:val="24"/>
        </w:rPr>
        <w:t>, yani orijinal olmadığı, üzerinde oynama yapıldığı ve bir takım teknik yöntemlerle geri getirildiği belirtilmiştir.</w:t>
      </w:r>
      <w:r w:rsidR="00147729">
        <w:rPr>
          <w:rFonts w:ascii="Arial Narrow" w:hAnsi="Arial Narrow" w:cs="Times New Roman"/>
          <w:sz w:val="24"/>
          <w:szCs w:val="24"/>
        </w:rPr>
        <w:t xml:space="preserve"> </w:t>
      </w:r>
    </w:p>
    <w:p w14:paraId="53AE6C4F" w14:textId="77777777" w:rsidR="00954ACB" w:rsidRPr="00614020" w:rsidRDefault="00954ACB" w:rsidP="00173F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4"/>
          <w:szCs w:val="24"/>
        </w:rPr>
      </w:pPr>
      <w:r w:rsidRPr="00614020">
        <w:rPr>
          <w:rFonts w:ascii="Arial Narrow" w:hAnsi="Arial Narrow" w:cs="Times New Roman"/>
          <w:sz w:val="24"/>
          <w:szCs w:val="24"/>
        </w:rPr>
        <w:t xml:space="preserve">Hazırlanan iddianamelerde ve Yargıtay kararlarında, içerisinde Bylock bilgilerini içeren materyallerin 09/12/2016 tarihinde savcılığa </w:t>
      </w:r>
      <w:r w:rsidRPr="00614020">
        <w:rPr>
          <w:rFonts w:ascii="Arial Narrow" w:hAnsi="Arial Narrow" w:cs="Times New Roman"/>
          <w:iCs/>
          <w:sz w:val="24"/>
          <w:szCs w:val="24"/>
        </w:rPr>
        <w:t>tesliminin ardından</w:t>
      </w:r>
      <w:r w:rsidRPr="00614020">
        <w:rPr>
          <w:rFonts w:ascii="Arial Narrow" w:hAnsi="Arial Narrow" w:cs="Times New Roman"/>
          <w:sz w:val="24"/>
          <w:szCs w:val="24"/>
        </w:rPr>
        <w:t xml:space="preserve"> bu dijital malzemeler üzerinden imaj alınması için sulh ceza hâkimliklerinden karar alındığı bilgisine yer verilmektedir. İmaj alma işleminin gerçekleştirilebilmesi için usulüne uygun şekilde verilmiş bir arama kararı ve bu karara istinaden yapılan aramada dijital malzemenin ele geçirilmesi gerekir. Ancak, Bylock bilgilerinin elde edilmesiyle ilgili verilmiş bir arama kararı bulunmamaktadır. Zira bu konudaki hakim kararı, imajın alınmasından sonra verilmiştir. </w:t>
      </w:r>
    </w:p>
    <w:p w14:paraId="657E0616" w14:textId="77777777" w:rsidR="00954ACB" w:rsidRPr="00900A6C" w:rsidRDefault="00954ACB" w:rsidP="00173F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4"/>
          <w:szCs w:val="24"/>
        </w:rPr>
      </w:pPr>
      <w:r w:rsidRPr="00614020">
        <w:rPr>
          <w:rFonts w:ascii="Arial Narrow" w:hAnsi="Arial Narrow" w:cs="Times New Roman"/>
          <w:sz w:val="24"/>
          <w:szCs w:val="24"/>
        </w:rPr>
        <w:t xml:space="preserve">Şöyle ki; Ceza Genel Kurulu, </w:t>
      </w:r>
      <w:r w:rsidRPr="00614020">
        <w:rPr>
          <w:rFonts w:ascii="Arial Narrow" w:hAnsi="Arial Narrow" w:cs="Times New Roman"/>
          <w:iCs/>
          <w:sz w:val="24"/>
          <w:szCs w:val="24"/>
        </w:rPr>
        <w:t xml:space="preserve">20/12/2018 </w:t>
      </w:r>
      <w:r w:rsidRPr="00614020">
        <w:rPr>
          <w:rFonts w:ascii="Arial Narrow" w:hAnsi="Arial Narrow" w:cs="Times New Roman"/>
          <w:sz w:val="24"/>
          <w:szCs w:val="24"/>
        </w:rPr>
        <w:t>tarihli kararında</w:t>
      </w:r>
      <w:r w:rsidRPr="00614020">
        <w:rPr>
          <w:rFonts w:ascii="Arial Narrow" w:hAnsi="Arial Narrow" w:cs="Times New Roman"/>
          <w:sz w:val="24"/>
          <w:szCs w:val="24"/>
          <w:vertAlign w:val="superscript"/>
        </w:rPr>
        <w:footnoteReference w:id="7"/>
      </w:r>
      <w:r w:rsidRPr="00614020">
        <w:rPr>
          <w:rFonts w:ascii="Arial Narrow" w:hAnsi="Arial Narrow" w:cs="Times New Roman"/>
          <w:sz w:val="24"/>
          <w:szCs w:val="24"/>
          <w:vertAlign w:val="superscript"/>
        </w:rPr>
        <w:t xml:space="preserve"> </w:t>
      </w:r>
      <w:r w:rsidRPr="00614020">
        <w:rPr>
          <w:rFonts w:ascii="Arial Narrow" w:hAnsi="Arial Narrow" w:cs="Times New Roman"/>
          <w:sz w:val="24"/>
          <w:szCs w:val="24"/>
        </w:rPr>
        <w:t xml:space="preserve">Emniyet Genel Müdürlüğü tarafından hazırlanan 11/12/2018 tarihli </w:t>
      </w:r>
      <w:r w:rsidRPr="00614020">
        <w:rPr>
          <w:rFonts w:ascii="Arial Narrow" w:hAnsi="Arial Narrow" w:cs="Times New Roman"/>
          <w:b/>
          <w:i/>
          <w:sz w:val="24"/>
          <w:szCs w:val="24"/>
        </w:rPr>
        <w:t xml:space="preserve">“Bylock Kronoloji Raporu” </w:t>
      </w:r>
      <w:r w:rsidRPr="00614020">
        <w:rPr>
          <w:rFonts w:ascii="Arial Narrow" w:hAnsi="Arial Narrow" w:cs="Times New Roman"/>
          <w:sz w:val="24"/>
          <w:szCs w:val="24"/>
        </w:rPr>
        <w:t xml:space="preserve">na yer vermiştir. Rapor gereğince; Bylock verilerinin imajı Ankara 4. Sulh Ceza Hakimliğinin 09/12/2016 tarihli kararından sonra değil, bu tarihten 11 gün önce ve hakim kararı olmadan alınmış ve bu suretle </w:t>
      </w:r>
      <w:r w:rsidRPr="00900A6C">
        <w:rPr>
          <w:rFonts w:ascii="Arial Narrow" w:hAnsi="Arial Narrow" w:cs="Times New Roman"/>
          <w:sz w:val="24"/>
          <w:szCs w:val="24"/>
        </w:rPr>
        <w:t xml:space="preserve">Bylock bilgi ve verileri orijinalliğini kaybetmiştir. </w:t>
      </w:r>
      <w:r w:rsidRPr="00900A6C">
        <w:rPr>
          <w:rFonts w:ascii="Arial Narrow" w:hAnsi="Arial Narrow" w:cs="Times New Roman"/>
          <w:b/>
          <w:sz w:val="24"/>
          <w:szCs w:val="24"/>
        </w:rPr>
        <w:t xml:space="preserve">İmaj alınması için 4. Sulh Ceza Hâkimliğince verilen karar üzerine </w:t>
      </w:r>
      <w:r w:rsidRPr="00900A6C">
        <w:rPr>
          <w:rFonts w:ascii="Arial Narrow" w:hAnsi="Arial Narrow" w:cs="Times New Roman"/>
          <w:sz w:val="24"/>
          <w:szCs w:val="24"/>
        </w:rPr>
        <w:t xml:space="preserve">16/12/2016 tarihinde KOM Daire Başkanlığına teslim edilen Bylock abone listesi de </w:t>
      </w:r>
      <w:r w:rsidRPr="00900A6C">
        <w:rPr>
          <w:rFonts w:ascii="Arial Narrow" w:hAnsi="Arial Narrow" w:cs="Times New Roman"/>
          <w:b/>
          <w:sz w:val="24"/>
          <w:szCs w:val="24"/>
        </w:rPr>
        <w:t>bu karardan önce</w:t>
      </w:r>
      <w:r w:rsidRPr="00900A6C">
        <w:rPr>
          <w:rFonts w:ascii="Arial Narrow" w:hAnsi="Arial Narrow" w:cs="Times New Roman"/>
          <w:sz w:val="24"/>
          <w:szCs w:val="24"/>
        </w:rPr>
        <w:t xml:space="preserve"> oluşturulmuştur.</w:t>
      </w:r>
    </w:p>
    <w:p w14:paraId="79981AA1" w14:textId="5B4287AD" w:rsidR="00900A6C" w:rsidRPr="00900A6C" w:rsidRDefault="00900A6C" w:rsidP="00173F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4"/>
          <w:szCs w:val="24"/>
        </w:rPr>
      </w:pPr>
      <w:bookmarkStart w:id="0" w:name="_Hlk149144770"/>
      <w:r w:rsidRPr="00900A6C">
        <w:rPr>
          <w:rFonts w:ascii="Arial Narrow" w:hAnsi="Arial Narrow" w:cs="Times New Roman"/>
          <w:sz w:val="24"/>
          <w:szCs w:val="24"/>
        </w:rPr>
        <w:t>Verilerin, yargı denetimi dışında bırakılarak aylarca MİT’te tutulması bu verilerin güvenliğini de sakatlamıştır.</w:t>
      </w:r>
      <w:bookmarkEnd w:id="0"/>
    </w:p>
    <w:p w14:paraId="2EBC6FB5" w14:textId="77777777" w:rsidR="00954ACB" w:rsidRPr="00900A6C" w:rsidRDefault="00954ACB" w:rsidP="00173FA0">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outlineLvl w:val="0"/>
        <w:rPr>
          <w:rFonts w:ascii="Arial Narrow" w:hAnsi="Arial Narrow" w:cs="Times New Roman"/>
          <w:b/>
          <w:i/>
          <w:sz w:val="24"/>
          <w:szCs w:val="24"/>
        </w:rPr>
      </w:pPr>
      <w:r w:rsidRPr="00900A6C">
        <w:rPr>
          <w:rFonts w:ascii="Arial Narrow" w:hAnsi="Arial Narrow" w:cs="Times New Roman"/>
          <w:b/>
          <w:i/>
          <w:sz w:val="24"/>
          <w:szCs w:val="24"/>
        </w:rPr>
        <w:t>d. 2937 Sayılı MİT Kanunu Açısından Kararın Değerlendirilmesi</w:t>
      </w:r>
    </w:p>
    <w:p w14:paraId="0E1633F2" w14:textId="77777777" w:rsidR="00954ACB" w:rsidRPr="00614020" w:rsidRDefault="00954ACB" w:rsidP="00173F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4"/>
          <w:szCs w:val="24"/>
        </w:rPr>
      </w:pPr>
      <w:r w:rsidRPr="00900A6C">
        <w:rPr>
          <w:rFonts w:ascii="Arial Narrow" w:hAnsi="Arial Narrow" w:cs="Times New Roman"/>
          <w:sz w:val="24"/>
          <w:szCs w:val="24"/>
        </w:rPr>
        <w:t>Bylock bilgilerinin elde</w:t>
      </w:r>
      <w:r w:rsidRPr="00614020">
        <w:rPr>
          <w:rFonts w:ascii="Arial Narrow" w:hAnsi="Arial Narrow" w:cs="Times New Roman"/>
          <w:sz w:val="24"/>
          <w:szCs w:val="24"/>
        </w:rPr>
        <w:t xml:space="preserve"> edilme yöntemi CMK’ya aykırı olduğu gibi 2937 sayılı MİT’in teşkilat kanununa da aykırıdır. 2937 sayılı Kanun’un 4/1-i maddesiyle MİT’e verilen görevin kapsamı, terörle mücadele de dâhil istihbari yöntemlerle elde edilen bilgiler ışığında oluşturulan istihbaratın ilgili kuruluşlara ulaştırılmasından </w:t>
      </w:r>
      <w:r w:rsidRPr="00614020">
        <w:rPr>
          <w:rFonts w:ascii="Arial Narrow" w:hAnsi="Arial Narrow" w:cs="Times New Roman"/>
          <w:sz w:val="24"/>
          <w:szCs w:val="24"/>
        </w:rPr>
        <w:lastRenderedPageBreak/>
        <w:t>ibarettir ve bu aşamadan sonra konuyla ilgili araştırma ve istihbaratın gereğini yapma görevi ilgili kuruluşlara aittir. Bylock hususunda MİT aldığı istihbaratı Cumhuriyet Başsavcılığına iletmemiş; görevi olmamasına rağmen bu konuyla ilgili çalışma yaparak adli soruşturma kapsamında elde edilmesi gereken Bylock bilgilerini istihbari çalışma sonucu elde etmiştir.</w:t>
      </w:r>
      <w:r w:rsidRPr="00614020">
        <w:rPr>
          <w:rStyle w:val="DipnotBavurusu"/>
          <w:rFonts w:ascii="Arial Narrow" w:hAnsi="Arial Narrow"/>
          <w:sz w:val="24"/>
          <w:szCs w:val="24"/>
        </w:rPr>
        <w:footnoteReference w:id="8"/>
      </w:r>
      <w:r w:rsidRPr="00614020">
        <w:rPr>
          <w:rFonts w:ascii="Arial Narrow" w:hAnsi="Arial Narrow" w:cs="Times New Roman"/>
          <w:sz w:val="24"/>
          <w:szCs w:val="24"/>
        </w:rPr>
        <w:t xml:space="preserve"> İstikrar kazanmış yargı kararları gereğince, yasal olarak elde edilse dahi MİT, jandarma ya da polis tarafından istihbari çalışmalar neticesinde elde edilen bilgilerin ceza yargılamasında delil olarak kullanılması mümkün değildir.</w:t>
      </w:r>
      <w:r w:rsidRPr="00614020">
        <w:rPr>
          <w:rStyle w:val="DipnotBavurusu"/>
          <w:rFonts w:ascii="Arial Narrow" w:hAnsi="Arial Narrow"/>
          <w:sz w:val="24"/>
          <w:szCs w:val="24"/>
        </w:rPr>
        <w:footnoteReference w:id="9"/>
      </w:r>
      <w:r w:rsidRPr="00614020">
        <w:rPr>
          <w:rFonts w:ascii="Arial Narrow" w:hAnsi="Arial Narrow" w:cs="Times New Roman"/>
          <w:sz w:val="24"/>
          <w:szCs w:val="24"/>
        </w:rPr>
        <w:t xml:space="preserve"> </w:t>
      </w:r>
    </w:p>
    <w:p w14:paraId="04D37F71" w14:textId="77777777" w:rsidR="00954ACB" w:rsidRPr="00614020" w:rsidRDefault="00954ACB" w:rsidP="00173F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4"/>
          <w:szCs w:val="24"/>
        </w:rPr>
      </w:pPr>
      <w:r w:rsidRPr="00614020">
        <w:rPr>
          <w:rFonts w:ascii="Arial Narrow" w:hAnsi="Arial Narrow" w:cs="Times New Roman"/>
          <w:sz w:val="24"/>
          <w:szCs w:val="24"/>
        </w:rPr>
        <w:t>2937 sayılı Kanun’un 4/2. maddesindeki MİT’e istihbari görev dışında vazife verilemeyeceğine ilişkin düzenleme karşısında da bu çalışmanın yasal olmadığı anlaşılmaktadır.</w:t>
      </w:r>
    </w:p>
    <w:p w14:paraId="40CCD231" w14:textId="77777777" w:rsidR="00954ACB" w:rsidRPr="00614020" w:rsidRDefault="00954ACB" w:rsidP="00173F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pacing w:val="-1"/>
          <w:sz w:val="24"/>
          <w:szCs w:val="24"/>
        </w:rPr>
      </w:pPr>
      <w:r w:rsidRPr="00614020">
        <w:rPr>
          <w:rFonts w:ascii="Arial Narrow" w:hAnsi="Arial Narrow" w:cs="Times New Roman"/>
          <w:spacing w:val="-1"/>
          <w:sz w:val="24"/>
          <w:szCs w:val="24"/>
        </w:rPr>
        <w:t xml:space="preserve">Benzer şekilde, 2937 sayılı Kanun’un Ek-1. maddesinde, </w:t>
      </w:r>
      <w:r w:rsidRPr="00614020">
        <w:rPr>
          <w:rFonts w:ascii="Arial Narrow" w:hAnsi="Arial Narrow" w:cs="Times New Roman"/>
          <w:sz w:val="24"/>
          <w:szCs w:val="24"/>
        </w:rPr>
        <w:t xml:space="preserve">TCK’nın 326 ile 339. maddeleri arasında düzenlenen </w:t>
      </w:r>
      <w:r w:rsidRPr="00614020">
        <w:rPr>
          <w:rFonts w:ascii="Arial Narrow" w:hAnsi="Arial Narrow" w:cs="Times New Roman"/>
          <w:i/>
          <w:iCs/>
          <w:sz w:val="24"/>
          <w:szCs w:val="24"/>
        </w:rPr>
        <w:t>“casusluk suçları”</w:t>
      </w:r>
      <w:r w:rsidRPr="00614020">
        <w:rPr>
          <w:rFonts w:ascii="Arial Narrow" w:hAnsi="Arial Narrow" w:cs="Times New Roman"/>
          <w:sz w:val="24"/>
          <w:szCs w:val="24"/>
        </w:rPr>
        <w:t xml:space="preserve"> dışında </w:t>
      </w:r>
      <w:r w:rsidRPr="00614020">
        <w:rPr>
          <w:rFonts w:ascii="Arial Narrow" w:hAnsi="Arial Narrow" w:cs="Times New Roman"/>
          <w:spacing w:val="-1"/>
          <w:sz w:val="24"/>
          <w:szCs w:val="24"/>
        </w:rPr>
        <w:t xml:space="preserve">adli makamlarca MİT’in elindeki bilgi ve belgelerin istenemeyeceği ve bu suçlar dışında MİT’in elindeki bilgi ve belgelerin de adli makamlara verilemeyeceği düzenlenmiştir. Bununla birlikte Ankara Cumhuriyet Başsavcılığı, TCK’nın 314. maddesinde düzenlenen </w:t>
      </w:r>
      <w:r w:rsidRPr="00614020">
        <w:rPr>
          <w:rFonts w:ascii="Arial Narrow" w:hAnsi="Arial Narrow" w:cs="Times New Roman"/>
          <w:i/>
          <w:iCs/>
          <w:spacing w:val="-1"/>
          <w:sz w:val="24"/>
          <w:szCs w:val="24"/>
        </w:rPr>
        <w:t>“silahlı terör örgütü suçu”</w:t>
      </w:r>
      <w:r w:rsidRPr="00614020">
        <w:rPr>
          <w:rFonts w:ascii="Arial Narrow" w:hAnsi="Arial Narrow" w:cs="Times New Roman"/>
          <w:spacing w:val="-1"/>
          <w:sz w:val="24"/>
          <w:szCs w:val="24"/>
        </w:rPr>
        <w:t xml:space="preserve"> kapsamında yürüttüğü soruşturmada MİT’ten Bylock bilgilerini istemiş; MİT de elde ettiği Bylock bilgilerini Başsavcılıkla paylaşmıştır. MİT’in yaptığı çalışmanın 2937 sayılı Kanun’a uygun olduğu kabul edilse bile, bu bilgilerin müsnet suç nedeniyle adli mercilerle paylaşılması bu Kanun gereğince yasaktır.</w:t>
      </w:r>
    </w:p>
    <w:p w14:paraId="0CA867DD" w14:textId="77777777" w:rsidR="00954ACB" w:rsidRPr="00614020" w:rsidRDefault="00954ACB" w:rsidP="00173F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4"/>
          <w:szCs w:val="24"/>
        </w:rPr>
      </w:pPr>
      <w:r w:rsidRPr="00614020">
        <w:rPr>
          <w:rFonts w:ascii="Arial Narrow" w:hAnsi="Arial Narrow" w:cs="Times New Roman"/>
          <w:sz w:val="24"/>
          <w:szCs w:val="24"/>
        </w:rPr>
        <w:t xml:space="preserve">2937 sayılı Kanun’un 6/6. maddesinde, MİT’in istihbari faaliyet kapsamında elde ettiği bilgilerin </w:t>
      </w:r>
      <w:r w:rsidRPr="00614020">
        <w:rPr>
          <w:rFonts w:ascii="Arial Narrow" w:hAnsi="Arial Narrow" w:cs="Times New Roman"/>
          <w:i/>
          <w:sz w:val="24"/>
          <w:szCs w:val="24"/>
        </w:rPr>
        <w:t>istihbari amaç dışında</w:t>
      </w:r>
      <w:r w:rsidRPr="00614020">
        <w:rPr>
          <w:rFonts w:ascii="Arial Narrow" w:hAnsi="Arial Narrow" w:cs="Times New Roman"/>
          <w:sz w:val="24"/>
          <w:szCs w:val="24"/>
        </w:rPr>
        <w:t xml:space="preserve"> kullanılamayacağı ifade edilmiştir. Burada bahsedilen, soruşturma ve kovuşturmalarda kullanılamayacak olan bilgiler MİT’in görev alanına giren konularda ve hukuka uygun olarak elde ettiği bilgilerdir. Bylock bilgilerinin ise hukuka aykırı olarak ele geçirilmeleri nedeniyle zaten delil olarak kullanılabilmesi mümkün değildi.</w:t>
      </w:r>
    </w:p>
    <w:p w14:paraId="33A53665" w14:textId="77777777" w:rsidR="00954ACB" w:rsidRPr="00614020" w:rsidRDefault="00954ACB" w:rsidP="00173F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4"/>
          <w:szCs w:val="24"/>
        </w:rPr>
      </w:pPr>
      <w:r w:rsidRPr="00614020">
        <w:rPr>
          <w:rFonts w:ascii="Arial Narrow" w:hAnsi="Arial Narrow" w:cs="Times New Roman"/>
          <w:sz w:val="24"/>
          <w:szCs w:val="24"/>
        </w:rPr>
        <w:t>CMK’nın 164. maddesinde adli kolluk görevi bulunan kurumları belirtmiş olup, madde gereğince MİT’in adli kolluk görevi, yani delil toplama yetkisi yoktur. Zira MİT’in esas görevi istihbarattır ve istihbarat görevini yaparken elde ettiği bilgiler, CMK da belirtilen usule göre elde edilmesi ve ancak 2937 sayılı Kanun’un Ek-1. maddesinde belirtilen casusluk suçları kapsamında olması halinde yasal delil olarak kullanılabilmektedir.</w:t>
      </w:r>
    </w:p>
    <w:p w14:paraId="64248181" w14:textId="77777777" w:rsidR="00954ACB" w:rsidRPr="00614020" w:rsidRDefault="00954ACB" w:rsidP="00173FA0">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outlineLvl w:val="0"/>
        <w:rPr>
          <w:rFonts w:ascii="Arial Narrow" w:hAnsi="Arial Narrow" w:cs="Times New Roman"/>
          <w:b/>
          <w:i/>
          <w:sz w:val="24"/>
          <w:szCs w:val="24"/>
        </w:rPr>
      </w:pPr>
      <w:r w:rsidRPr="00614020">
        <w:rPr>
          <w:rFonts w:ascii="Arial Narrow" w:hAnsi="Arial Narrow" w:cs="Times New Roman"/>
          <w:b/>
          <w:i/>
          <w:sz w:val="24"/>
          <w:szCs w:val="24"/>
        </w:rPr>
        <w:t>e. 6706 Sayılı Cezai Konularda Uluslararası Adli İş Birliği Kanunu</w:t>
      </w:r>
      <w:r w:rsidRPr="00614020">
        <w:rPr>
          <w:rFonts w:ascii="Arial Narrow" w:hAnsi="Arial Narrow" w:cs="Times New Roman"/>
          <w:b/>
          <w:sz w:val="24"/>
          <w:szCs w:val="24"/>
        </w:rPr>
        <w:t xml:space="preserve"> </w:t>
      </w:r>
      <w:r w:rsidRPr="00614020">
        <w:rPr>
          <w:rFonts w:ascii="Arial Narrow" w:hAnsi="Arial Narrow" w:cs="Times New Roman"/>
          <w:b/>
          <w:i/>
          <w:sz w:val="24"/>
          <w:szCs w:val="24"/>
        </w:rPr>
        <w:t>Açısından Kararın Değerlendirilmesi</w:t>
      </w:r>
    </w:p>
    <w:p w14:paraId="67891045" w14:textId="77777777" w:rsidR="00954ACB" w:rsidRPr="00614020" w:rsidRDefault="00954ACB" w:rsidP="00173F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4"/>
          <w:szCs w:val="24"/>
        </w:rPr>
      </w:pPr>
      <w:r w:rsidRPr="00614020">
        <w:rPr>
          <w:rFonts w:ascii="Arial Narrow" w:hAnsi="Arial Narrow" w:cs="Times New Roman"/>
          <w:sz w:val="24"/>
          <w:szCs w:val="24"/>
        </w:rPr>
        <w:t>Bylock uygulaması Litvanya’da sunucu kiralama hizmeti veren bir şirketten kiralanarak kullanıma sunulmuştur ve bu sunucu üzerinde arama, kopyalama ve el koyma işlemi yapılabilmesi ancak 6706 sayılı Kanun ve tarafı olduğumuz uluslararası sözleşmeler gereğince yapılacak adli yardımlaşmayla mümkündür. Ayrıca, adli iş birliği yapılması halinde de bu işlemler Litvanya yargı mercilerince yerine getirilecekti. Ancak bu hususların hiç birine uyulmamıştır.</w:t>
      </w:r>
    </w:p>
    <w:p w14:paraId="1042222D" w14:textId="77777777" w:rsidR="00954ACB" w:rsidRPr="00614020" w:rsidRDefault="00954ACB" w:rsidP="00173FA0">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outlineLvl w:val="0"/>
        <w:rPr>
          <w:rFonts w:ascii="Arial Narrow" w:hAnsi="Arial Narrow" w:cs="Times New Roman"/>
          <w:b/>
          <w:i/>
          <w:sz w:val="24"/>
          <w:szCs w:val="24"/>
        </w:rPr>
      </w:pPr>
      <w:r w:rsidRPr="00614020">
        <w:rPr>
          <w:rFonts w:ascii="Arial Narrow" w:hAnsi="Arial Narrow" w:cs="Times New Roman"/>
          <w:b/>
          <w:i/>
          <w:sz w:val="24"/>
          <w:szCs w:val="24"/>
        </w:rPr>
        <w:t>f. 5809 Sayılı Elektronik Haberleşme Kanunu Açısından Kararın Değerlendirilmesi</w:t>
      </w:r>
    </w:p>
    <w:p w14:paraId="5425DC88" w14:textId="77777777" w:rsidR="00954ACB" w:rsidRPr="00614020" w:rsidRDefault="00954ACB" w:rsidP="00173F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4"/>
          <w:szCs w:val="24"/>
        </w:rPr>
      </w:pPr>
      <w:r w:rsidRPr="00614020">
        <w:rPr>
          <w:rFonts w:ascii="Arial Narrow" w:hAnsi="Arial Narrow" w:cs="Times New Roman"/>
          <w:sz w:val="24"/>
          <w:szCs w:val="24"/>
        </w:rPr>
        <w:t>Bylock bilgilerinin elde ediliş yöntemi 5809 sayılı Kanuna da aykırıdır. MİT ele geçirdiği Bylock sunucusuna bağlanan IP adreslerini tespit etmiş ve 2937 sayılı Kanun’un 6/1-b maddesine (kamu kurum ve kuruluşlarıyla özel kuruluşlardan belge ve bilgi isteyebilme yetkisi) dayanarak bu IP’lerin kimlere ait olduğunu GSM şirketlerinden öğrenmiştir.</w:t>
      </w:r>
    </w:p>
    <w:p w14:paraId="4B8A327C" w14:textId="77777777" w:rsidR="00954ACB" w:rsidRPr="00614020" w:rsidRDefault="00954ACB" w:rsidP="00173F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4"/>
          <w:szCs w:val="24"/>
        </w:rPr>
      </w:pPr>
      <w:r w:rsidRPr="00614020">
        <w:rPr>
          <w:rFonts w:ascii="Arial Narrow" w:hAnsi="Arial Narrow" w:cs="Times New Roman"/>
          <w:sz w:val="24"/>
          <w:szCs w:val="24"/>
        </w:rPr>
        <w:t xml:space="preserve">Anayasa Mahkemesi konuyla ilgili verdiği kararında, MİT’e verilen bu yetkinin istihbari bilgi toplama ve analiz yapmak için verildiğini ve adli soruşturma ve kovuşturmayı gerektiren konularda kullanılamayacağını </w:t>
      </w:r>
      <w:r w:rsidRPr="00614020">
        <w:rPr>
          <w:rFonts w:ascii="Arial Narrow" w:hAnsi="Arial Narrow" w:cs="Times New Roman"/>
          <w:sz w:val="24"/>
          <w:szCs w:val="24"/>
        </w:rPr>
        <w:lastRenderedPageBreak/>
        <w:t>belirtmiştir.</w:t>
      </w:r>
      <w:r w:rsidRPr="00614020">
        <w:rPr>
          <w:rStyle w:val="DipnotBavurusu"/>
          <w:rFonts w:ascii="Arial Narrow" w:hAnsi="Arial Narrow"/>
          <w:sz w:val="24"/>
          <w:szCs w:val="24"/>
        </w:rPr>
        <w:footnoteReference w:id="10"/>
      </w:r>
      <w:r w:rsidRPr="00614020">
        <w:rPr>
          <w:rFonts w:ascii="Arial Narrow" w:hAnsi="Arial Narrow" w:cs="Times New Roman"/>
          <w:sz w:val="24"/>
          <w:szCs w:val="24"/>
        </w:rPr>
        <w:t xml:space="preserve"> Ancak, MİT kendisine verilen bu yetkiyi de istihbari faaliyet kapsamında değil, adli soruşturmayı gerektiren bir konuda kullanmıştır.</w:t>
      </w:r>
    </w:p>
    <w:p w14:paraId="0FBF9A2A" w14:textId="468BA4DE" w:rsidR="00954ACB" w:rsidRPr="00614020" w:rsidRDefault="00954ACB" w:rsidP="00173FA0">
      <w:pPr>
        <w:tabs>
          <w:tab w:val="left" w:pos="284"/>
          <w:tab w:val="left" w:pos="567"/>
          <w:tab w:val="left" w:pos="851"/>
          <w:tab w:val="left" w:pos="1134"/>
          <w:tab w:val="left" w:pos="1418"/>
        </w:tabs>
        <w:spacing w:after="120"/>
        <w:ind w:right="-22"/>
        <w:jc w:val="both"/>
        <w:rPr>
          <w:rFonts w:ascii="Arial Narrow" w:hAnsi="Arial Narrow" w:cs="Times New Roman"/>
          <w:iCs/>
          <w:sz w:val="24"/>
          <w:szCs w:val="24"/>
        </w:rPr>
      </w:pPr>
      <w:r w:rsidRPr="00614020">
        <w:rPr>
          <w:rFonts w:ascii="Arial Narrow" w:hAnsi="Arial Narrow" w:cs="Times New Roman"/>
          <w:sz w:val="24"/>
          <w:szCs w:val="24"/>
        </w:rPr>
        <w:t xml:space="preserve">Ayrıca, </w:t>
      </w:r>
      <w:r w:rsidRPr="00614020">
        <w:rPr>
          <w:rFonts w:ascii="Arial Narrow" w:hAnsi="Arial Narrow" w:cs="Times New Roman"/>
          <w:color w:val="222222"/>
          <w:sz w:val="24"/>
          <w:szCs w:val="24"/>
          <w:shd w:val="clear" w:color="auto" w:fill="FFFFFF"/>
        </w:rPr>
        <w:t>5809 sayılı Elektronik Haberleşme Kanunu’nun 51/10. maddesinde; kişisel veri niteliğindeki</w:t>
      </w:r>
      <w:r w:rsidRPr="00614020">
        <w:rPr>
          <w:rFonts w:ascii="Arial Narrow" w:hAnsi="Arial Narrow" w:cs="Times New Roman"/>
          <w:b/>
          <w:color w:val="222222"/>
          <w:sz w:val="24"/>
          <w:szCs w:val="24"/>
          <w:shd w:val="clear" w:color="auto" w:fill="FFFFFF"/>
        </w:rPr>
        <w:t xml:space="preserve"> </w:t>
      </w:r>
      <w:r w:rsidRPr="00614020">
        <w:rPr>
          <w:rFonts w:ascii="Arial Narrow" w:hAnsi="Arial Narrow" w:cs="Times New Roman"/>
          <w:sz w:val="24"/>
          <w:szCs w:val="24"/>
        </w:rPr>
        <w:t xml:space="preserve">internet trafik verilerinin, haberleşmenin yapıldığı tarihten itibaren bir yıldan az ve iki yıldan fazla olmamak üzere saklanacağı ve saklanma sürelerinin yönetmelikle belirleneceği belirtilmiştir. </w:t>
      </w:r>
      <w:r w:rsidR="00160C47" w:rsidRPr="0079679A">
        <w:rPr>
          <w:rFonts w:ascii="Arial Narrow" w:hAnsi="Arial Narrow" w:cs="Times New Roman"/>
          <w:sz w:val="24"/>
          <w:szCs w:val="24"/>
        </w:rPr>
        <w:t xml:space="preserve">Bu Kanuna dayanılarak çıkarılan Elektronik Haberleşme Sektöründe Kişisel Verilerin İşlenmesi ve Gizliliğinin Korunması Hakkında Yönetmeliğin 14/1 </w:t>
      </w:r>
      <w:r w:rsidR="00160C47" w:rsidRPr="00215D24">
        <w:rPr>
          <w:rFonts w:ascii="Arial Narrow" w:hAnsi="Arial Narrow" w:cs="Times New Roman"/>
          <w:sz w:val="24"/>
          <w:szCs w:val="24"/>
        </w:rPr>
        <w:t xml:space="preserve">ve </w:t>
      </w:r>
      <w:r w:rsidR="00160C47" w:rsidRPr="00215D24">
        <w:rPr>
          <w:rFonts w:ascii="Arial Narrow" w:hAnsi="Arial Narrow" w:cs="Times New Roman"/>
        </w:rPr>
        <w:t xml:space="preserve">Elektronik </w:t>
      </w:r>
      <w:r w:rsidR="00160C47" w:rsidRPr="008076BD">
        <w:rPr>
          <w:rFonts w:ascii="Arial Narrow" w:hAnsi="Arial Narrow" w:cs="Times New Roman"/>
          <w:sz w:val="24"/>
          <w:szCs w:val="24"/>
        </w:rPr>
        <w:t>Haberleşme Sektörüne İlişkin Yetkilendirme Yönetmeliği’nin 19/1-f maddeleri uyarınca da</w:t>
      </w:r>
      <w:r w:rsidR="00160C47">
        <w:rPr>
          <w:rFonts w:ascii="Arial Narrow" w:hAnsi="Arial Narrow" w:cs="Times New Roman"/>
          <w:sz w:val="24"/>
          <w:szCs w:val="24"/>
        </w:rPr>
        <w:t xml:space="preserve"> </w:t>
      </w:r>
      <w:r w:rsidRPr="00614020">
        <w:rPr>
          <w:rFonts w:ascii="Arial Narrow" w:hAnsi="Arial Narrow" w:cs="Times New Roman"/>
          <w:sz w:val="24"/>
          <w:szCs w:val="24"/>
        </w:rPr>
        <w:t xml:space="preserve">GSM şirketleri bu bilgileri en fazla bir yıl, gerçekleşmeyen (0 saniye) aramalara ilişkin kayıtları ise üç ay süreyle saklayabilir. </w:t>
      </w:r>
      <w:r w:rsidRPr="00614020">
        <w:rPr>
          <w:rFonts w:ascii="Arial Narrow" w:hAnsi="Arial Narrow" w:cs="Times New Roman"/>
          <w:iCs/>
          <w:sz w:val="24"/>
          <w:szCs w:val="24"/>
        </w:rPr>
        <w:t>Bu sürelerden daha fazla bu bilgilerin saklanması özel hayatın gizliliğinin ihlaline neden olur ve bu bilgileri hukuka aykırı hale getirir.</w:t>
      </w:r>
      <w:r w:rsidRPr="00614020">
        <w:rPr>
          <w:rStyle w:val="DipnotBavurusu"/>
          <w:rFonts w:ascii="Arial Narrow" w:hAnsi="Arial Narrow"/>
          <w:iCs/>
          <w:sz w:val="24"/>
          <w:szCs w:val="24"/>
        </w:rPr>
        <w:footnoteReference w:id="11"/>
      </w:r>
      <w:r w:rsidRPr="00614020">
        <w:rPr>
          <w:rFonts w:ascii="Arial Narrow" w:hAnsi="Arial Narrow" w:cs="Times New Roman"/>
          <w:iCs/>
          <w:sz w:val="24"/>
          <w:szCs w:val="24"/>
        </w:rPr>
        <w:t xml:space="preserve"> </w:t>
      </w:r>
    </w:p>
    <w:p w14:paraId="4489EBF0" w14:textId="77777777" w:rsidR="00954ACB" w:rsidRPr="00614020" w:rsidRDefault="00954ACB" w:rsidP="00173FA0">
      <w:pPr>
        <w:tabs>
          <w:tab w:val="left" w:pos="284"/>
          <w:tab w:val="left" w:pos="567"/>
          <w:tab w:val="left" w:pos="851"/>
          <w:tab w:val="left" w:pos="1134"/>
          <w:tab w:val="left" w:pos="1418"/>
        </w:tabs>
        <w:spacing w:after="120"/>
        <w:ind w:right="-22"/>
        <w:jc w:val="both"/>
        <w:rPr>
          <w:rFonts w:ascii="Arial Narrow" w:hAnsi="Arial Narrow" w:cs="Times New Roman"/>
          <w:sz w:val="24"/>
          <w:szCs w:val="24"/>
        </w:rPr>
      </w:pPr>
      <w:r w:rsidRPr="00614020">
        <w:rPr>
          <w:rFonts w:ascii="Arial Narrow" w:hAnsi="Arial Narrow" w:cs="Times New Roman"/>
          <w:iCs/>
          <w:sz w:val="24"/>
          <w:szCs w:val="24"/>
        </w:rPr>
        <w:t>Erişim ve yer sağlayıcıların kişisel veri kabul edilen bu bilgileri tutmaları görevlerinden kaynaklanan yasal bir zorunluluk olup ilgililerin temel hak ve özgürlüklerinin korunması amacını taşır. Dolayısıyla, yasal zorunluluk nedeniyle tutulan bilgiler ancak mevzuatta öngörülen süre kadar saklanabilir. Aksi durumun</w:t>
      </w:r>
      <w:r w:rsidRPr="00614020">
        <w:rPr>
          <w:rFonts w:ascii="Arial Narrow" w:hAnsi="Arial Narrow" w:cs="Times New Roman"/>
          <w:i/>
          <w:iCs/>
          <w:sz w:val="24"/>
          <w:szCs w:val="24"/>
        </w:rPr>
        <w:t xml:space="preserve"> </w:t>
      </w:r>
      <w:r w:rsidRPr="00614020">
        <w:rPr>
          <w:rFonts w:ascii="Arial Narrow" w:hAnsi="Arial Narrow" w:cs="Times New Roman"/>
          <w:iCs/>
          <w:sz w:val="24"/>
          <w:szCs w:val="24"/>
        </w:rPr>
        <w:t>kabulü, verilmeyen bir yetkinin keyfi olarak erişim ve yer sağlayıcılar tarafından kullanılması anlamına gelir ki bu durum hukuka aykırıdır.</w:t>
      </w:r>
    </w:p>
    <w:p w14:paraId="7A2D363E" w14:textId="77777777" w:rsidR="00954ACB" w:rsidRPr="00614020" w:rsidRDefault="00954ACB" w:rsidP="00173FA0">
      <w:pPr>
        <w:tabs>
          <w:tab w:val="left" w:pos="284"/>
          <w:tab w:val="left" w:pos="567"/>
          <w:tab w:val="left" w:pos="851"/>
          <w:tab w:val="left" w:pos="1134"/>
          <w:tab w:val="left" w:pos="1418"/>
        </w:tabs>
        <w:spacing w:after="120"/>
        <w:ind w:right="-22"/>
        <w:jc w:val="both"/>
        <w:rPr>
          <w:rFonts w:ascii="Arial Narrow" w:hAnsi="Arial Narrow" w:cs="Times New Roman"/>
          <w:sz w:val="24"/>
          <w:szCs w:val="24"/>
        </w:rPr>
      </w:pPr>
      <w:r w:rsidRPr="00614020">
        <w:rPr>
          <w:rFonts w:ascii="Arial Narrow" w:hAnsi="Arial Narrow" w:cs="Times New Roman"/>
          <w:iCs/>
          <w:sz w:val="24"/>
          <w:szCs w:val="24"/>
        </w:rPr>
        <w:t xml:space="preserve"> </w:t>
      </w:r>
      <w:r w:rsidRPr="00614020">
        <w:rPr>
          <w:rFonts w:ascii="Arial Narrow" w:hAnsi="Arial Narrow" w:cs="Times New Roman"/>
          <w:spacing w:val="-3"/>
          <w:sz w:val="24"/>
          <w:szCs w:val="24"/>
        </w:rPr>
        <w:t xml:space="preserve">Kişilerin özel hayatın gizliliği kapsamında korunan ve haberleşmelerine ilişkin olan trafik bilgilerinin öngörülen sürelerden daha fazla saklanması halinde, ilgili GSM firması personeli TCK’nın 135. maddesinde düzenlenen </w:t>
      </w:r>
      <w:r w:rsidRPr="00614020">
        <w:rPr>
          <w:rFonts w:ascii="Arial Narrow" w:hAnsi="Arial Narrow" w:cs="Times New Roman"/>
          <w:i/>
          <w:iCs/>
          <w:spacing w:val="-3"/>
          <w:sz w:val="24"/>
          <w:szCs w:val="24"/>
        </w:rPr>
        <w:t xml:space="preserve">“kişisel verilerin kaydedilmesi”, </w:t>
      </w:r>
      <w:r w:rsidRPr="00614020">
        <w:rPr>
          <w:rFonts w:ascii="Arial Narrow" w:hAnsi="Arial Narrow" w:cs="Times New Roman"/>
          <w:spacing w:val="-3"/>
          <w:sz w:val="24"/>
          <w:szCs w:val="24"/>
        </w:rPr>
        <w:t>136. maddesinde düzenlenen</w:t>
      </w:r>
      <w:r w:rsidRPr="00614020">
        <w:rPr>
          <w:rFonts w:ascii="Arial Narrow" w:hAnsi="Arial Narrow" w:cs="Times New Roman"/>
          <w:i/>
          <w:iCs/>
          <w:spacing w:val="-3"/>
          <w:sz w:val="24"/>
          <w:szCs w:val="24"/>
        </w:rPr>
        <w:t xml:space="preserve"> “verileri hukuka aykırı olarak verme veya ele geçirme”</w:t>
      </w:r>
      <w:r w:rsidRPr="00614020">
        <w:rPr>
          <w:rFonts w:ascii="Arial Narrow" w:hAnsi="Arial Narrow" w:cs="Times New Roman"/>
          <w:spacing w:val="-3"/>
          <w:sz w:val="24"/>
          <w:szCs w:val="24"/>
        </w:rPr>
        <w:t xml:space="preserve"> suçlarından cezalandırılacak ve bu kişilerin cezası TCK’nın 137. maddesi gereğince yarı oranında değil, 5809 sayılı Kanun’un 6/3. maddesi gereğince bir kat arttırılacaktır. </w:t>
      </w:r>
    </w:p>
    <w:p w14:paraId="3386E37B" w14:textId="77777777" w:rsidR="00954ACB" w:rsidRPr="00900A6C" w:rsidRDefault="00954ACB" w:rsidP="00173FA0">
      <w:pPr>
        <w:tabs>
          <w:tab w:val="left" w:pos="284"/>
          <w:tab w:val="left" w:pos="560"/>
          <w:tab w:val="left" w:pos="851"/>
          <w:tab w:val="left" w:pos="1120"/>
          <w:tab w:val="left" w:pos="1418"/>
        </w:tabs>
        <w:spacing w:after="120"/>
        <w:ind w:right="-22"/>
        <w:jc w:val="both"/>
        <w:rPr>
          <w:rFonts w:ascii="Arial Narrow" w:hAnsi="Arial Narrow" w:cs="Times New Roman"/>
          <w:spacing w:val="-1"/>
          <w:sz w:val="23"/>
          <w:szCs w:val="23"/>
        </w:rPr>
      </w:pPr>
      <w:r w:rsidRPr="00614020">
        <w:rPr>
          <w:rFonts w:ascii="Arial Narrow" w:hAnsi="Arial Narrow" w:cs="Times New Roman"/>
          <w:spacing w:val="-1"/>
          <w:sz w:val="24"/>
          <w:szCs w:val="24"/>
        </w:rPr>
        <w:t xml:space="preserve">Mevzuattaki bu açık hükümlere rağmen; </w:t>
      </w:r>
      <w:r w:rsidR="00E0489E" w:rsidRPr="00614020">
        <w:rPr>
          <w:rFonts w:ascii="Arial Narrow" w:hAnsi="Arial Narrow" w:cs="Times New Roman"/>
          <w:sz w:val="24"/>
          <w:szCs w:val="24"/>
        </w:rPr>
        <w:t>süreleri dolmuş internet trafik bilgileri ve iletişim kayıtları 5809 sayılı Yasada buna izin veren bir düzenleme olmaksızın Bilgi Teknolojileri Kurumu (BTK) tarafından bir şekilde saklanmakta veya elde edilmekte,</w:t>
      </w:r>
      <w:r w:rsidRPr="00614020">
        <w:rPr>
          <w:rFonts w:ascii="Arial Narrow" w:hAnsi="Arial Narrow" w:cs="Times New Roman"/>
          <w:spacing w:val="-1"/>
          <w:sz w:val="24"/>
          <w:szCs w:val="24"/>
        </w:rPr>
        <w:t xml:space="preserve"> bu kayıtlar yargılama makamlarına sunulmakta, bunu yapan kişi ve kurumlar hakkında hiçbir cezai takibatın yapılmamakta, bu şekilde sunulan kayıtların hukuka aykırılık oluşturduğu mahkemeler tarafından dikkate </w:t>
      </w:r>
      <w:r w:rsidRPr="00900A6C">
        <w:rPr>
          <w:rFonts w:ascii="Arial Narrow" w:hAnsi="Arial Narrow" w:cs="Times New Roman"/>
          <w:spacing w:val="-1"/>
          <w:sz w:val="23"/>
          <w:szCs w:val="23"/>
        </w:rPr>
        <w:t>alınmamakta, hukuka aykırı bu bilgiler yargılamalara esas alınmakta ve dosyalara konulmak suretiyle alenileştirilmektedir.</w:t>
      </w:r>
    </w:p>
    <w:p w14:paraId="7C76ACA8" w14:textId="3FD9D026" w:rsidR="00900A6C" w:rsidRPr="00900A6C" w:rsidRDefault="00900A6C" w:rsidP="00173F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i/>
          <w:sz w:val="23"/>
          <w:szCs w:val="23"/>
        </w:rPr>
      </w:pPr>
      <w:bookmarkStart w:id="1" w:name="_Hlk149143904"/>
      <w:r w:rsidRPr="00900A6C">
        <w:rPr>
          <w:rFonts w:ascii="Arial Narrow" w:hAnsi="Arial Narrow" w:cs="Times New Roman"/>
          <w:sz w:val="23"/>
          <w:szCs w:val="23"/>
        </w:rPr>
        <w:t>Ayrıca, bilirkişi incelemesi yaptırılmasına ve Bylock verilerinin tarafımıza verilmesine ilişkin talepler silahların eşitliği ve çelişmeli yargılama ilkesine aykırı olarak reddedilmiştir. Suçun unsurlarının varlığı araştırılmadan ve Bylock kullanmak suçun unsuru gibi kabul edilerek yapılan otomatik cezalandırmalar, suç ve cezaların yasallığı ilkesine açıkça aykırıdır.</w:t>
      </w:r>
      <w:bookmarkEnd w:id="1"/>
    </w:p>
    <w:p w14:paraId="58D1C25E" w14:textId="77777777" w:rsidR="000A7B71" w:rsidRPr="00900A6C" w:rsidRDefault="00D64D5A" w:rsidP="00173FA0">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eastAsia="Times New Roman" w:hAnsi="Arial Narrow" w:cs="Times New Roman"/>
          <w:b/>
          <w:bCs/>
          <w:sz w:val="23"/>
          <w:szCs w:val="23"/>
          <w:lang w:eastAsia="tr-TR"/>
        </w:rPr>
      </w:pPr>
      <w:r w:rsidRPr="00900A6C">
        <w:rPr>
          <w:rFonts w:ascii="Arial Narrow" w:eastAsia="Times New Roman" w:hAnsi="Arial Narrow" w:cs="Times New Roman"/>
          <w:b/>
          <w:bCs/>
          <w:sz w:val="23"/>
          <w:szCs w:val="23"/>
          <w:lang w:eastAsia="tr-TR"/>
        </w:rPr>
        <w:t>4</w:t>
      </w:r>
      <w:r w:rsidR="000A7B71" w:rsidRPr="00900A6C">
        <w:rPr>
          <w:rFonts w:ascii="Arial Narrow" w:eastAsia="Times New Roman" w:hAnsi="Arial Narrow" w:cs="Times New Roman"/>
          <w:b/>
          <w:bCs/>
          <w:sz w:val="23"/>
          <w:szCs w:val="23"/>
          <w:lang w:eastAsia="tr-TR"/>
        </w:rPr>
        <w:t>) İtirafçı Beyanlarının Mahkumiyete Esas Alınması</w:t>
      </w:r>
    </w:p>
    <w:p w14:paraId="140F3DEF" w14:textId="77777777" w:rsidR="008210BC" w:rsidRPr="00900A6C" w:rsidRDefault="008210BC" w:rsidP="00173FA0">
      <w:pPr>
        <w:tabs>
          <w:tab w:val="left" w:pos="284"/>
          <w:tab w:val="left" w:pos="567"/>
          <w:tab w:val="left" w:pos="851"/>
          <w:tab w:val="left" w:pos="1134"/>
          <w:tab w:val="left" w:pos="1418"/>
        </w:tabs>
        <w:spacing w:after="120"/>
        <w:jc w:val="both"/>
        <w:rPr>
          <w:rFonts w:ascii="Arial Narrow" w:hAnsi="Arial Narrow" w:cs="Times New Roman"/>
          <w:sz w:val="23"/>
          <w:szCs w:val="23"/>
        </w:rPr>
      </w:pPr>
      <w:r w:rsidRPr="00900A6C">
        <w:rPr>
          <w:rFonts w:ascii="Arial Narrow" w:hAnsi="Arial Narrow" w:cs="Times New Roman"/>
          <w:spacing w:val="-1"/>
          <w:sz w:val="23"/>
          <w:szCs w:val="23"/>
        </w:rPr>
        <w:t>Mahkeme</w:t>
      </w:r>
      <w:r w:rsidRPr="00900A6C">
        <w:rPr>
          <w:rFonts w:ascii="Arial Narrow" w:hAnsi="Arial Narrow" w:cs="Times New Roman"/>
          <w:sz w:val="23"/>
          <w:szCs w:val="23"/>
        </w:rPr>
        <w:t>, itirafçı tanık/itirafçı gizli tanık beyanlarını silahlı terör örgütü üyeliğinden mahkum edilmeme gerekçe yapmıştır.</w:t>
      </w:r>
    </w:p>
    <w:p w14:paraId="27C7B46C" w14:textId="77777777" w:rsidR="008210BC" w:rsidRPr="003935E5" w:rsidRDefault="008210BC" w:rsidP="00173FA0">
      <w:pPr>
        <w:tabs>
          <w:tab w:val="left" w:pos="284"/>
          <w:tab w:val="left" w:pos="567"/>
          <w:tab w:val="left" w:pos="851"/>
          <w:tab w:val="left" w:pos="1134"/>
          <w:tab w:val="left" w:pos="1418"/>
        </w:tabs>
        <w:spacing w:after="120"/>
        <w:jc w:val="both"/>
        <w:rPr>
          <w:rFonts w:ascii="Arial Narrow" w:hAnsi="Arial Narrow" w:cs="Times New Roman"/>
          <w:sz w:val="23"/>
          <w:szCs w:val="23"/>
        </w:rPr>
      </w:pPr>
      <w:r w:rsidRPr="00900A6C">
        <w:rPr>
          <w:rFonts w:ascii="Arial Narrow" w:hAnsi="Arial Narrow" w:cs="Times New Roman"/>
          <w:sz w:val="23"/>
          <w:szCs w:val="23"/>
        </w:rPr>
        <w:t>Ceza yargılamasında nelerin delil olarak kullanılabileceği</w:t>
      </w:r>
      <w:r w:rsidRPr="003935E5">
        <w:rPr>
          <w:rFonts w:ascii="Arial Narrow" w:hAnsi="Arial Narrow" w:cs="Times New Roman"/>
          <w:sz w:val="23"/>
          <w:szCs w:val="23"/>
        </w:rPr>
        <w:t xml:space="preserve"> ne kadar önemli ise o delilin ispat gücü de bir o kadar önemlidir. Zira her delilin ispat gücü aynı değildir ve her delile aynı değerde itibar edilemez. </w:t>
      </w:r>
      <w:r w:rsidRPr="003935E5">
        <w:rPr>
          <w:rFonts w:ascii="Arial Narrow" w:hAnsi="Arial Narrow" w:cs="Times New Roman"/>
          <w:iCs/>
          <w:sz w:val="23"/>
          <w:szCs w:val="23"/>
        </w:rPr>
        <w:t xml:space="preserve">Bir ifadenin </w:t>
      </w:r>
      <w:r w:rsidRPr="003935E5">
        <w:rPr>
          <w:rFonts w:ascii="Arial Narrow" w:hAnsi="Arial Narrow" w:cs="Times New Roman"/>
          <w:i/>
          <w:iCs/>
          <w:sz w:val="23"/>
          <w:szCs w:val="23"/>
        </w:rPr>
        <w:t>“beyan delili”</w:t>
      </w:r>
      <w:r w:rsidRPr="003935E5">
        <w:rPr>
          <w:rFonts w:ascii="Arial Narrow" w:hAnsi="Arial Narrow" w:cs="Times New Roman"/>
          <w:iCs/>
          <w:sz w:val="23"/>
          <w:szCs w:val="23"/>
        </w:rPr>
        <w:t xml:space="preserve"> kabul edilmesi, yasalarda belirlenen usule göre elde edilmesine bağlıdır. Bu usule uyulmadan, örneğin yetkili olmayan kişilerce alınan ifadeler beyan delili değil, ancak belirti delili olarak kabul edilebilir. </w:t>
      </w:r>
      <w:r w:rsidRPr="003935E5">
        <w:rPr>
          <w:rFonts w:ascii="Arial Narrow" w:hAnsi="Arial Narrow" w:cs="Times New Roman"/>
          <w:sz w:val="23"/>
          <w:szCs w:val="23"/>
        </w:rPr>
        <w:t xml:space="preserve">Burada </w:t>
      </w:r>
      <w:r w:rsidRPr="003935E5">
        <w:rPr>
          <w:rFonts w:ascii="Arial Narrow" w:hAnsi="Arial Narrow" w:cs="Times New Roman"/>
          <w:sz w:val="23"/>
          <w:szCs w:val="23"/>
        </w:rPr>
        <w:lastRenderedPageBreak/>
        <w:t>özellikle üzerinde durulması gereken husus, CMK’nın 148. maddesinde belirtilen yasak usullerle elde edilmiş olan ifadelerin özgür irade ve rıza ile verilmiş olsa dahi hiçbir şekilde delil olarak kullanılamamasıdır.</w:t>
      </w:r>
      <w:r w:rsidRPr="003935E5">
        <w:rPr>
          <w:rStyle w:val="DipnotBavurusu"/>
          <w:rFonts w:ascii="Arial Narrow" w:hAnsi="Arial Narrow"/>
          <w:sz w:val="23"/>
          <w:szCs w:val="23"/>
        </w:rPr>
        <w:footnoteReference w:id="12"/>
      </w:r>
    </w:p>
    <w:p w14:paraId="3361485C" w14:textId="77777777" w:rsidR="008210BC" w:rsidRPr="003935E5" w:rsidRDefault="008210BC" w:rsidP="00173FA0">
      <w:pPr>
        <w:pStyle w:val="DzMetin"/>
        <w:spacing w:after="120" w:line="276" w:lineRule="auto"/>
        <w:rPr>
          <w:rFonts w:ascii="Arial Narrow" w:hAnsi="Arial Narrow"/>
          <w:sz w:val="23"/>
          <w:szCs w:val="23"/>
        </w:rPr>
      </w:pPr>
      <w:r w:rsidRPr="003935E5">
        <w:rPr>
          <w:rFonts w:ascii="Arial Narrow" w:hAnsi="Arial Narrow"/>
          <w:sz w:val="23"/>
          <w:szCs w:val="23"/>
        </w:rPr>
        <w:t>Sanık kendi aleyhine beyanda bulunabileceği gibi başkaları aleyhine de beyanda bulunabilir. İkinci durumda bu sanıklara itirafçı, bu ifadelere de itirafçı beyanı denir. İtirafçı ifadeleri de bir beyan delilidir fakat beyan delilleri içinde güven sıralamasında en alt grupta bulunur.</w:t>
      </w:r>
    </w:p>
    <w:p w14:paraId="3621C2F2" w14:textId="77777777" w:rsidR="008210BC" w:rsidRPr="003935E5" w:rsidRDefault="008210BC" w:rsidP="00173FA0">
      <w:pPr>
        <w:pStyle w:val="DzMetin"/>
        <w:spacing w:after="120" w:line="276" w:lineRule="auto"/>
        <w:rPr>
          <w:rFonts w:ascii="Arial Narrow" w:hAnsi="Arial Narrow"/>
          <w:sz w:val="23"/>
          <w:szCs w:val="23"/>
        </w:rPr>
      </w:pPr>
      <w:r w:rsidRPr="003935E5">
        <w:rPr>
          <w:rFonts w:ascii="Arial Narrow" w:hAnsi="Arial Narrow"/>
          <w:sz w:val="23"/>
          <w:szCs w:val="23"/>
        </w:rPr>
        <w:t>Tarafsız tanık olarak kabul edilen kişiler, yargılamanın sonucundan hiçbir şekilde etkilenmeyen, olayla ilgisi olmayan, sanık veya mağdurla bağlantısı bulunmayan kişilerdir. Oysa sanık ve mağdur, verilecek karardan bizzat etkilenecek kişilerdir ve bu nedenle beyanlarına daha az itibar edilir. İtirafçı sanık ise bunun da altındadır. Çünkü kendisi de sanıktır ve başkaları aleyhine vereceği ifadeler sonucunda hiç ceza almama veya daha az ceza alma durumu vardır. Hatta bazı suçlarda olduğu gibi ödül alma hakkına bile sahiptir. Bu nedenle itirafçı beyanları en güvenilmez beyanlardır.</w:t>
      </w:r>
    </w:p>
    <w:p w14:paraId="4840895E" w14:textId="77777777" w:rsidR="008210BC" w:rsidRPr="003935E5" w:rsidRDefault="008210BC" w:rsidP="00173FA0">
      <w:pPr>
        <w:pStyle w:val="DzMetin"/>
        <w:spacing w:after="120" w:line="276" w:lineRule="auto"/>
        <w:rPr>
          <w:rFonts w:ascii="Arial Narrow" w:hAnsi="Arial Narrow"/>
          <w:iCs/>
          <w:sz w:val="23"/>
          <w:szCs w:val="23"/>
        </w:rPr>
      </w:pPr>
      <w:r w:rsidRPr="003935E5">
        <w:rPr>
          <w:rFonts w:ascii="Arial Narrow" w:hAnsi="Arial Narrow"/>
          <w:sz w:val="23"/>
          <w:szCs w:val="23"/>
        </w:rPr>
        <w:t>Sanığın kendi aleyhine verdiği beyanın dahi doğrulanması gerekirken, başkaları aleyhine verilen beyanlarla ilgili daha titiz davranılması gerektiği izahtan varestedir.</w:t>
      </w:r>
      <w:r w:rsidRPr="003935E5">
        <w:rPr>
          <w:rFonts w:ascii="Arial Narrow" w:hAnsi="Arial Narrow"/>
          <w:iCs/>
          <w:sz w:val="23"/>
          <w:szCs w:val="23"/>
        </w:rPr>
        <w:t xml:space="preserve"> Yargıtay 16. Ceza Dairesi de konuyla ilgili verdiği bir kararında, itirafçı sanık olup tanık sıfatı ile dinlenen, etkin pişmanlıktan yararlanmak için sanık aleyhine beyanda bulunma hususunda hukuki menfaati olan kişinin anlatımının tek başına hükme esas alınamayacağını belirtmiştir.</w:t>
      </w:r>
      <w:r w:rsidRPr="003935E5">
        <w:rPr>
          <w:rStyle w:val="DipnotBavurusu"/>
          <w:rFonts w:ascii="Arial Narrow" w:hAnsi="Arial Narrow"/>
          <w:iCs/>
          <w:sz w:val="23"/>
          <w:szCs w:val="23"/>
        </w:rPr>
        <w:footnoteReference w:id="13"/>
      </w:r>
      <w:r w:rsidRPr="003935E5">
        <w:rPr>
          <w:rFonts w:ascii="Arial Narrow" w:hAnsi="Arial Narrow"/>
          <w:iCs/>
          <w:sz w:val="23"/>
          <w:szCs w:val="23"/>
        </w:rPr>
        <w:t xml:space="preserve"> </w:t>
      </w:r>
    </w:p>
    <w:p w14:paraId="6EE2B19D" w14:textId="77777777" w:rsidR="008210BC" w:rsidRPr="003935E5" w:rsidRDefault="008210BC" w:rsidP="00173FA0">
      <w:pPr>
        <w:pStyle w:val="DzMetin"/>
        <w:spacing w:after="120" w:line="276" w:lineRule="auto"/>
        <w:rPr>
          <w:rFonts w:ascii="Arial Narrow" w:hAnsi="Arial Narrow"/>
          <w:b/>
          <w:sz w:val="23"/>
          <w:szCs w:val="23"/>
        </w:rPr>
      </w:pPr>
      <w:r w:rsidRPr="003935E5">
        <w:rPr>
          <w:rFonts w:ascii="Arial Narrow" w:hAnsi="Arial Narrow"/>
          <w:sz w:val="23"/>
          <w:szCs w:val="23"/>
        </w:rPr>
        <w:t xml:space="preserve">Kısaca, maddi gerçeği ortaya çıkarmakla yükümlü olan ceza hâkimi, muhakemeye katılanların iddiaları veya sanığın itirafı ile bağlı olmayıp </w:t>
      </w:r>
      <w:r w:rsidRPr="003935E5">
        <w:rPr>
          <w:rFonts w:ascii="Arial Narrow" w:hAnsi="Arial Narrow"/>
          <w:i/>
          <w:sz w:val="23"/>
          <w:szCs w:val="23"/>
        </w:rPr>
        <w:t>“beyan”</w:t>
      </w:r>
      <w:r w:rsidRPr="003935E5">
        <w:rPr>
          <w:rFonts w:ascii="Arial Narrow" w:hAnsi="Arial Narrow"/>
          <w:sz w:val="23"/>
          <w:szCs w:val="23"/>
        </w:rPr>
        <w:t xml:space="preserve"> delilinin mutlaka yan delillerle desteklenmesini aramalıdır ve </w:t>
      </w:r>
      <w:r w:rsidRPr="003935E5">
        <w:rPr>
          <w:rFonts w:ascii="Arial Narrow" w:hAnsi="Arial Narrow"/>
          <w:iCs/>
          <w:sz w:val="23"/>
          <w:szCs w:val="23"/>
        </w:rPr>
        <w:t>Yargıtayın da bu hususa ilişkin istikrar kazanmış pek çok kararı vardır.</w:t>
      </w:r>
      <w:r w:rsidRPr="003935E5">
        <w:rPr>
          <w:rStyle w:val="DipnotBavurusu"/>
          <w:rFonts w:ascii="Arial Narrow" w:hAnsi="Arial Narrow"/>
          <w:iCs/>
          <w:sz w:val="23"/>
          <w:szCs w:val="23"/>
        </w:rPr>
        <w:footnoteReference w:id="14"/>
      </w:r>
      <w:r w:rsidRPr="003935E5">
        <w:rPr>
          <w:rFonts w:ascii="Arial Narrow" w:hAnsi="Arial Narrow"/>
          <w:iCs/>
          <w:sz w:val="23"/>
          <w:szCs w:val="23"/>
        </w:rPr>
        <w:t xml:space="preserve"> </w:t>
      </w:r>
    </w:p>
    <w:p w14:paraId="09C4C568" w14:textId="77777777" w:rsidR="008210BC" w:rsidRPr="003935E5" w:rsidRDefault="008210BC" w:rsidP="00173FA0">
      <w:pPr>
        <w:pStyle w:val="hvl-default"/>
        <w:spacing w:after="120" w:line="276" w:lineRule="auto"/>
        <w:jc w:val="both"/>
        <w:rPr>
          <w:rFonts w:ascii="Arial Narrow" w:hAnsi="Arial Narrow" w:cs="Times New Roman"/>
          <w:sz w:val="23"/>
          <w:szCs w:val="23"/>
          <w:lang w:val="tr-TR"/>
        </w:rPr>
      </w:pPr>
      <w:r w:rsidRPr="003935E5">
        <w:rPr>
          <w:rFonts w:ascii="Arial Narrow" w:hAnsi="Arial Narrow" w:cs="Times New Roman"/>
          <w:sz w:val="23"/>
          <w:szCs w:val="23"/>
          <w:lang w:val="tr-TR"/>
        </w:rPr>
        <w:t xml:space="preserve">Burada Yargıtayın aradığı yan delil başka bir beyan delili değildir. Yani bir beyan delili başka bir beyan delili ile desteklenemez. Yan delil, </w:t>
      </w:r>
      <w:r w:rsidRPr="003935E5">
        <w:rPr>
          <w:rFonts w:ascii="Arial Narrow" w:hAnsi="Arial Narrow" w:cs="Times New Roman"/>
          <w:i/>
          <w:sz w:val="23"/>
          <w:szCs w:val="23"/>
          <w:lang w:val="tr-TR"/>
        </w:rPr>
        <w:t>“belge veya belirti”</w:t>
      </w:r>
      <w:r w:rsidRPr="003935E5">
        <w:rPr>
          <w:rFonts w:ascii="Arial Narrow" w:hAnsi="Arial Narrow" w:cs="Times New Roman"/>
          <w:sz w:val="23"/>
          <w:szCs w:val="23"/>
          <w:lang w:val="tr-TR"/>
        </w:rPr>
        <w:t xml:space="preserve"> delili denilen maddi delildir</w:t>
      </w:r>
      <w:r w:rsidRPr="003935E5">
        <w:rPr>
          <w:rStyle w:val="DipnotBavurusu"/>
          <w:rFonts w:ascii="Arial Narrow" w:hAnsi="Arial Narrow"/>
          <w:sz w:val="23"/>
          <w:szCs w:val="23"/>
          <w:lang w:val="tr-TR"/>
        </w:rPr>
        <w:footnoteReference w:id="15"/>
      </w:r>
      <w:r w:rsidRPr="003935E5">
        <w:rPr>
          <w:rFonts w:ascii="Arial Narrow" w:hAnsi="Arial Narrow" w:cs="Times New Roman"/>
          <w:sz w:val="23"/>
          <w:szCs w:val="23"/>
          <w:lang w:val="tr-TR"/>
        </w:rPr>
        <w:t xml:space="preserve">. Yani beyan delili mutlaka maddi bir delille doğrulanmalıdır. Ayrıca, sanığa atılı suçun unsurlarını göstermeyen hususlar (yasal ve rutin faaliyetler) yan delil olarak kabul edilemez. </w:t>
      </w:r>
    </w:p>
    <w:p w14:paraId="5CD5D383" w14:textId="77777777" w:rsidR="008210BC" w:rsidRPr="00900A6C" w:rsidRDefault="008210BC" w:rsidP="00173FA0">
      <w:pPr>
        <w:pStyle w:val="hvl-default"/>
        <w:spacing w:after="120" w:line="276" w:lineRule="auto"/>
        <w:jc w:val="both"/>
        <w:rPr>
          <w:rFonts w:ascii="Arial Narrow" w:hAnsi="Arial Narrow" w:cs="Times New Roman"/>
          <w:b/>
          <w:sz w:val="23"/>
          <w:szCs w:val="23"/>
          <w:lang w:val="tr-TR"/>
        </w:rPr>
      </w:pPr>
      <w:r w:rsidRPr="003935E5">
        <w:rPr>
          <w:rFonts w:ascii="Arial Narrow" w:hAnsi="Arial Narrow" w:cs="Times New Roman"/>
          <w:iCs/>
          <w:sz w:val="23"/>
          <w:szCs w:val="23"/>
          <w:lang w:val="tr-TR"/>
        </w:rPr>
        <w:t>Beyan delilinin bölünmesi konusunda da hata yapılmaktadır. Beyan delili bölünebilirdir.</w:t>
      </w:r>
      <w:r w:rsidRPr="003935E5">
        <w:rPr>
          <w:rStyle w:val="DipnotBavurusu"/>
          <w:rFonts w:ascii="Arial Narrow" w:hAnsi="Arial Narrow"/>
          <w:iCs/>
          <w:sz w:val="23"/>
          <w:szCs w:val="23"/>
          <w:lang w:val="tr-TR"/>
        </w:rPr>
        <w:footnoteReference w:id="16"/>
      </w:r>
      <w:r w:rsidRPr="003935E5">
        <w:rPr>
          <w:rFonts w:ascii="Arial Narrow" w:hAnsi="Arial Narrow" w:cs="Times New Roman"/>
          <w:iCs/>
          <w:sz w:val="23"/>
          <w:szCs w:val="23"/>
          <w:lang w:val="tr-TR"/>
        </w:rPr>
        <w:t xml:space="preserve"> Ancak, mevcut durum itibariyle bir itirafçı çok sayıda kişi hakkında iddialarda bulunmuş ve birinde isabet etmişse, bu itirafçı doğru söylüyor </w:t>
      </w:r>
      <w:r w:rsidRPr="00900A6C">
        <w:rPr>
          <w:rFonts w:ascii="Arial Narrow" w:hAnsi="Arial Narrow" w:cs="Times New Roman"/>
          <w:iCs/>
          <w:sz w:val="23"/>
          <w:szCs w:val="23"/>
          <w:lang w:val="tr-TR"/>
        </w:rPr>
        <w:t>denilerek diğer kişiler hakkındaki iddialar da doğru kabul edilmektedir. Diğer bir deyişle, beyan bölünmeden tümüyle doğru varsayılmaktadır.</w:t>
      </w:r>
    </w:p>
    <w:p w14:paraId="1220334A" w14:textId="375A5726" w:rsidR="008210BC" w:rsidRPr="00900A6C" w:rsidRDefault="008210BC" w:rsidP="00173FA0">
      <w:pPr>
        <w:pStyle w:val="DzMetin"/>
        <w:spacing w:after="120" w:line="276" w:lineRule="auto"/>
        <w:rPr>
          <w:rFonts w:ascii="Arial Narrow" w:hAnsi="Arial Narrow"/>
          <w:sz w:val="23"/>
          <w:szCs w:val="23"/>
        </w:rPr>
      </w:pPr>
      <w:r w:rsidRPr="00900A6C">
        <w:rPr>
          <w:rFonts w:ascii="Arial Narrow" w:hAnsi="Arial Narrow"/>
          <w:sz w:val="23"/>
          <w:szCs w:val="23"/>
        </w:rPr>
        <w:t>Son olarak, bu tür ifadeleri veren itirafçılar dahi cemaatin bir terör örgütü ol</w:t>
      </w:r>
      <w:r w:rsidR="00BA4CC2" w:rsidRPr="00900A6C">
        <w:rPr>
          <w:rFonts w:ascii="Arial Narrow" w:hAnsi="Arial Narrow"/>
          <w:sz w:val="23"/>
          <w:szCs w:val="23"/>
        </w:rPr>
        <w:t>madığını</w:t>
      </w:r>
      <w:r w:rsidRPr="00900A6C">
        <w:rPr>
          <w:rFonts w:ascii="Arial Narrow" w:hAnsi="Arial Narrow"/>
          <w:sz w:val="23"/>
          <w:szCs w:val="23"/>
        </w:rPr>
        <w:t>, aleyhine ifade verdikleri kişilerin Yargıtay’ca Cemaatin amaç suçu kabul edilen darbe teşebbüsünden habersiz olduklarını ve suçlamaya dayanak yapılan faaliyetlerin bir cemaat faaliyeti olarak bildikleri söylemekteyken, aleyhine ifade verilen kişilerin bunları terör faaliyeti kapsamında yaptıklarını kabul etmek akla ve hukuka aykırıdır. Kaldı ki, ortada ne bir silahlı örgüt, ne de örgütsel faaliyet vardır. Yargılama konusu hususlar yasal ve rutin faaliyetler ve cemaat mensubiyetidir. Cemaat mensubiyeti ise kesinlikle suç değildir.</w:t>
      </w:r>
      <w:r w:rsidR="00900A6C" w:rsidRPr="00900A6C">
        <w:rPr>
          <w:rFonts w:ascii="Arial Narrow" w:hAnsi="Arial Narrow"/>
          <w:sz w:val="23"/>
          <w:szCs w:val="23"/>
        </w:rPr>
        <w:t xml:space="preserve"> </w:t>
      </w:r>
      <w:bookmarkStart w:id="2" w:name="_Hlk149143966"/>
      <w:r w:rsidR="00900A6C" w:rsidRPr="00900A6C">
        <w:rPr>
          <w:rFonts w:ascii="Arial Narrow" w:hAnsi="Arial Narrow"/>
          <w:sz w:val="23"/>
          <w:szCs w:val="23"/>
        </w:rPr>
        <w:t>Yasal ve rutin faaliyetlere işaret eden ve suçun unsurlarına karşılık gelmeyen tanık beyanlarının bir delil değil de suçun unsuru gibi kabul edilerek, yani suçun unsurlarının yerine ikame edilmesi suç ve cezaların yasallığı ilkesine de aykırıdır.</w:t>
      </w:r>
      <w:bookmarkEnd w:id="2"/>
    </w:p>
    <w:p w14:paraId="785C6A88" w14:textId="77777777" w:rsidR="008210BC" w:rsidRPr="00900A6C" w:rsidRDefault="008210BC" w:rsidP="00173FA0">
      <w:pPr>
        <w:pStyle w:val="DzMetin"/>
        <w:spacing w:after="120" w:line="276" w:lineRule="auto"/>
        <w:rPr>
          <w:rFonts w:ascii="Arial Narrow" w:hAnsi="Arial Narrow"/>
          <w:sz w:val="23"/>
          <w:szCs w:val="23"/>
        </w:rPr>
      </w:pPr>
      <w:r w:rsidRPr="00900A6C">
        <w:rPr>
          <w:rFonts w:ascii="Arial Narrow" w:hAnsi="Arial Narrow"/>
          <w:sz w:val="23"/>
          <w:szCs w:val="23"/>
        </w:rPr>
        <w:lastRenderedPageBreak/>
        <w:t>Somut yargılamada, tanığın itirafçı olduğu ve suçlamada bulunmakta menfaati olduğu niteliği değerlendirmemiş ve bu kişinin/kişilerin beyanlarına dayalı mahkumiyet hükmü verilmiştir.</w:t>
      </w:r>
      <w:r w:rsidRPr="00900A6C">
        <w:rPr>
          <w:rStyle w:val="DipnotBavurusu"/>
          <w:rFonts w:ascii="Arial Narrow" w:hAnsi="Arial Narrow"/>
          <w:sz w:val="23"/>
          <w:szCs w:val="23"/>
        </w:rPr>
        <w:footnoteReference w:id="17"/>
      </w:r>
    </w:p>
    <w:p w14:paraId="6166D096" w14:textId="77777777" w:rsidR="00D64D5A" w:rsidRPr="00900A6C" w:rsidRDefault="00D64D5A" w:rsidP="00173FA0">
      <w:pPr>
        <w:pStyle w:val="DzMetin"/>
        <w:spacing w:after="120" w:line="276" w:lineRule="auto"/>
        <w:rPr>
          <w:rFonts w:ascii="Arial Narrow" w:hAnsi="Arial Narrow"/>
          <w:b/>
          <w:sz w:val="23"/>
          <w:szCs w:val="23"/>
        </w:rPr>
      </w:pPr>
      <w:r w:rsidRPr="00900A6C">
        <w:rPr>
          <w:rFonts w:ascii="Arial Narrow" w:hAnsi="Arial Narrow"/>
          <w:b/>
          <w:sz w:val="23"/>
          <w:szCs w:val="23"/>
        </w:rPr>
        <w:t>5) Garson İsimli Gizli Tanıktan Ele Geçirilen SD Kart Bilgilerinin Mahkumiyete Esas Alınması</w:t>
      </w:r>
    </w:p>
    <w:p w14:paraId="405CF45E" w14:textId="173C533E" w:rsidR="00D64D5A" w:rsidRPr="00614020" w:rsidRDefault="00D64D5A" w:rsidP="00173FA0">
      <w:pPr>
        <w:pStyle w:val="DzMetin"/>
        <w:spacing w:after="120" w:line="276" w:lineRule="auto"/>
        <w:rPr>
          <w:rFonts w:ascii="Arial Narrow" w:hAnsi="Arial Narrow"/>
          <w:sz w:val="24"/>
          <w:szCs w:val="24"/>
          <w:shd w:val="clear" w:color="auto" w:fill="FFFFFF"/>
        </w:rPr>
      </w:pPr>
      <w:r w:rsidRPr="00614020">
        <w:rPr>
          <w:rFonts w:ascii="Arial Narrow" w:hAnsi="Arial Narrow"/>
          <w:sz w:val="24"/>
          <w:szCs w:val="24"/>
          <w:shd w:val="clear" w:color="auto" w:fill="FFFFFF"/>
        </w:rPr>
        <w:t xml:space="preserve">Garson isimli gizli tanık, içerisinde Emniyet personeline ait bilgilerin olduğu 2 adet SD kartı 18/4/2017’de Ankara Başsavcılığına teslim etmiş, aynı gün savcılık el koyma ve inceleme (imaj) talebinde bulunulmuş ve bu talep sulh ceza hakimliği tarafından kabul edilmiştir. Bu karar üzerine SD kartların imajı 19/4/2017 tarihinde alınmıştır. Ancak, 21/4/2017 tarihinde Başsavcılık hiç bir gerekçe ve sebep göstermeden, el konulan SD kartlara “FİZİKİ MÜDAHALEDE BULUNULMASI” talebinde bulunmuş ve bu talep de 24/4/2017 tarihinde Ankara 7. Sulh Ceza Hakimliğinin 2017/3129 D. İş sayılı kararıyla kabul edilmiştir. SD kartlara fiziki müdahaleyle neyin amaçlandığı ve niçin böyle bir müdahaleye ihtiyaç duyulduğu açıklanmasa da, böyle bir talepte bulunulması, el konulan SD kartların delil değeri ile ilgili ciddi şüphelere neden olmuştur. Zira dijital materyalin imajı alınabiliyorsa fiziki müdahaleye gerek yoktur. </w:t>
      </w:r>
      <w:r w:rsidR="00900A6C">
        <w:rPr>
          <w:rFonts w:ascii="Arial Narrow" w:hAnsi="Arial Narrow"/>
          <w:sz w:val="24"/>
          <w:szCs w:val="24"/>
          <w:shd w:val="clear" w:color="auto" w:fill="FFFFFF"/>
        </w:rPr>
        <w:t xml:space="preserve">Ayrıca, CMK’da dijital materyale fiziki müdahalede bulunulabileceğine ilişki bir düzenleme yoktur ve bu </w:t>
      </w:r>
      <w:r w:rsidR="0053504C">
        <w:rPr>
          <w:rFonts w:ascii="Arial Narrow" w:hAnsi="Arial Narrow"/>
          <w:sz w:val="24"/>
          <w:szCs w:val="24"/>
          <w:shd w:val="clear" w:color="auto" w:fill="FFFFFF"/>
        </w:rPr>
        <w:t>müdahale</w:t>
      </w:r>
      <w:r w:rsidR="00900A6C">
        <w:rPr>
          <w:rFonts w:ascii="Arial Narrow" w:hAnsi="Arial Narrow"/>
          <w:sz w:val="24"/>
          <w:szCs w:val="24"/>
          <w:shd w:val="clear" w:color="auto" w:fill="FFFFFF"/>
        </w:rPr>
        <w:t xml:space="preserve"> açıkça hukuka aykırı ve kanunun vermediği </w:t>
      </w:r>
      <w:r w:rsidR="0053504C">
        <w:rPr>
          <w:rFonts w:ascii="Arial Narrow" w:hAnsi="Arial Narrow"/>
          <w:sz w:val="24"/>
          <w:szCs w:val="24"/>
          <w:shd w:val="clear" w:color="auto" w:fill="FFFFFF"/>
        </w:rPr>
        <w:t xml:space="preserve">bir yetkinin kullanılmasıdır. Dijital veriye yapılan müdahale delilin veri bütünlüğünü bozmuş ve hukuka aykırı hale getirmiştir. </w:t>
      </w:r>
    </w:p>
    <w:p w14:paraId="491786E0" w14:textId="77777777" w:rsidR="00D64D5A" w:rsidRPr="00614020" w:rsidRDefault="00D64D5A" w:rsidP="00173FA0">
      <w:pPr>
        <w:tabs>
          <w:tab w:val="left" w:pos="1080"/>
        </w:tabs>
        <w:spacing w:after="120"/>
        <w:jc w:val="both"/>
        <w:rPr>
          <w:rFonts w:ascii="Arial Narrow" w:hAnsi="Arial Narrow" w:cs="Times New Roman"/>
          <w:sz w:val="24"/>
          <w:szCs w:val="24"/>
        </w:rPr>
      </w:pPr>
      <w:r w:rsidRPr="00614020">
        <w:rPr>
          <w:rFonts w:ascii="Arial Narrow" w:hAnsi="Arial Narrow" w:cs="Times New Roman"/>
          <w:sz w:val="24"/>
          <w:szCs w:val="24"/>
          <w:shd w:val="clear" w:color="auto" w:fill="FFFFFF"/>
        </w:rPr>
        <w:t xml:space="preserve">Eğer imajı alınan SD kartlar üzerinde 2 gün sonra fiziki müdahaleye ihtiyaç duyuluyorsa, o zaman SD kartlarda maddi bir hasar meydana gelmiştir. Fiziki müdahaleyi gerektiren problem 19 Nisan’da mevcutsa neden 21 Nisan’a kadar beklenmiş, ya da bu problem 21 Nisan’da ortaya çıktıysa 2 gün boyunca SD kartlar üzerinde hangi çalışmalar yapılmıştır? </w:t>
      </w:r>
      <w:r w:rsidRPr="00614020">
        <w:rPr>
          <w:rFonts w:ascii="Arial Narrow" w:hAnsi="Arial Narrow" w:cs="Times New Roman"/>
          <w:sz w:val="24"/>
          <w:szCs w:val="24"/>
        </w:rPr>
        <w:t>Ayrıca, yapılacak çalışmanın alınan imaj (kopya) üzerinde yapılması ve fiziki bir müdahale gerekiyorsa, bunun da alınan imaj üzerinde gerçekleştirilmesi gerekirken, neden alınan imajlar da değil de ana delil olan SD kartlar üzerinde fiziki müdahale talep edilmiştir? Fiziki müdahaleden sonra SD kartların imajı tekrar alınmış mıdır? Alındıysa neden bana ya da vekilime verilmemiş ve dosyama gönderilmemiştir? Bu sorularla ilgili en mantıklı cevap; imaj alındıktan sonra çalışma yapılırken şifreleme sistemi ya da başka bir sebeple bilgilere ulaşılamaması nedeniyle, kartlara fiziki müdahalede bulunulduğu ve bu müdahalenin anlaşılması halinde delilin hukuka aykırılığının ileri sürüleceği bilindiğinden sonradan hakim kararı alındığıdır.</w:t>
      </w:r>
    </w:p>
    <w:p w14:paraId="269E1937" w14:textId="77777777" w:rsidR="00D64D5A" w:rsidRPr="00614020" w:rsidRDefault="00D64D5A" w:rsidP="00173FA0">
      <w:pPr>
        <w:tabs>
          <w:tab w:val="left" w:pos="1080"/>
        </w:tabs>
        <w:spacing w:after="120"/>
        <w:jc w:val="both"/>
        <w:rPr>
          <w:rFonts w:ascii="Arial Narrow" w:hAnsi="Arial Narrow" w:cs="Times New Roman"/>
          <w:sz w:val="24"/>
          <w:szCs w:val="24"/>
        </w:rPr>
      </w:pPr>
      <w:r w:rsidRPr="00614020">
        <w:rPr>
          <w:rFonts w:ascii="Arial Narrow" w:hAnsi="Arial Narrow" w:cs="Times New Roman"/>
          <w:sz w:val="24"/>
          <w:szCs w:val="24"/>
        </w:rPr>
        <w:t>Burada soru işaretlerine neden olan bir diğer husus, 24/4/2017’de fiziki müdahale talebinde bulunma kararı alındıktan 2 gün sonra 9103 emniyet görevlisinin görevden uzaklaştırılmasına rağmen, elde edilen SD kartların incelemesinin 05/06/2018 tarihinde bitirilmiş olmasıdır. Fiziki müdahale kararından 2 gün sonra bu kadar çok sayıda kişiyle ilgili bilgi elde edilebiliyorsa, SD kartların incelemesi neden 14 ay sürmüştür? Bu sorunun cevabı da benimle ya da müdafiimle paylaşılmadığından, akla gelen ilk husus, önceden hazırlanan fişleme listelerinin Garson’dan elde edilen SD kartlara eklendiği ve fiziki müdahale kararı alınmak suretiyle bu müdahalenin hukuka uygun hale getirilmeye çalışıldığıdır. Benzer şekilde, Garson fişlemelerine ilişkin SD kartların imajları hiç bir şekilde tarafıma verilmediğinden, verilerin gerçeği yansıtmadığı iddialarını değerlendirmek üzere bu veri ve bilgilerle ilgili CMK’nın 67. maddesi gereğince bilirkişi ya da uzman görüşü aldırma imkanım elimden alınmıştır. Oysaki Yargıtay 16. Ceza Dairesi, mahkemenin aldırdığı bilirkişi raporu ile dosyaya sunulan uzman görüşü arasındaki çelişkiyi bozma sebebi saymakta ve aradaki çelişkiyi giderici bilirkişi raporu aldırılmasını zorunlu kabul etmektedir.</w:t>
      </w:r>
      <w:r w:rsidRPr="00614020">
        <w:rPr>
          <w:rStyle w:val="DipnotBavurusu"/>
          <w:rFonts w:ascii="Arial Narrow" w:hAnsi="Arial Narrow"/>
          <w:sz w:val="24"/>
          <w:szCs w:val="24"/>
        </w:rPr>
        <w:footnoteReference w:id="18"/>
      </w:r>
      <w:r w:rsidRPr="00614020">
        <w:rPr>
          <w:rFonts w:ascii="Arial Narrow" w:hAnsi="Arial Narrow" w:cs="Times New Roman"/>
          <w:sz w:val="24"/>
          <w:szCs w:val="24"/>
        </w:rPr>
        <w:t xml:space="preserve"> Yani, bu verilerle ilgili her hangi bir bilirkişi raporu da aldırılmamış ve emniyet personelince hazırlanan </w:t>
      </w:r>
      <w:r w:rsidRPr="00614020">
        <w:rPr>
          <w:rFonts w:ascii="Arial Narrow" w:hAnsi="Arial Narrow" w:cs="Times New Roman"/>
          <w:i/>
          <w:sz w:val="24"/>
          <w:szCs w:val="24"/>
        </w:rPr>
        <w:t>“inceleme raporu”</w:t>
      </w:r>
      <w:r w:rsidRPr="00614020">
        <w:rPr>
          <w:rFonts w:ascii="Arial Narrow" w:hAnsi="Arial Narrow" w:cs="Times New Roman"/>
          <w:sz w:val="24"/>
          <w:szCs w:val="24"/>
        </w:rPr>
        <w:t xml:space="preserve">ndaki bilgiler doğru kabul edilerek </w:t>
      </w:r>
      <w:r w:rsidRPr="00614020">
        <w:rPr>
          <w:rFonts w:ascii="Arial Narrow" w:hAnsi="Arial Narrow" w:cs="Times New Roman"/>
          <w:sz w:val="24"/>
          <w:szCs w:val="24"/>
        </w:rPr>
        <w:lastRenderedPageBreak/>
        <w:t>cezalandırmama gerekçe yapılmıştır. Ancak Anayasa Mahkemesi, Balyoz ve İstanbul casusluk davası sanıklarının adil yargılanma haklarının ihlaline tam da bu sebeple karar vermiştir.</w:t>
      </w:r>
      <w:r w:rsidRPr="00614020">
        <w:rPr>
          <w:rStyle w:val="DipnotBavurusu"/>
          <w:rFonts w:ascii="Arial Narrow" w:hAnsi="Arial Narrow"/>
          <w:sz w:val="24"/>
          <w:szCs w:val="24"/>
        </w:rPr>
        <w:footnoteReference w:id="19"/>
      </w:r>
    </w:p>
    <w:p w14:paraId="1A3A24A8" w14:textId="77777777" w:rsidR="00D64D5A" w:rsidRPr="00614020" w:rsidRDefault="00D64D5A" w:rsidP="00173FA0">
      <w:pPr>
        <w:tabs>
          <w:tab w:val="left" w:pos="1080"/>
        </w:tabs>
        <w:spacing w:after="120"/>
        <w:jc w:val="both"/>
        <w:rPr>
          <w:rFonts w:ascii="Arial Narrow" w:hAnsi="Arial Narrow" w:cs="Times New Roman"/>
          <w:sz w:val="24"/>
          <w:szCs w:val="24"/>
        </w:rPr>
      </w:pPr>
      <w:r w:rsidRPr="00614020">
        <w:rPr>
          <w:rFonts w:ascii="Arial Narrow" w:hAnsi="Arial Narrow" w:cs="Times New Roman"/>
          <w:sz w:val="24"/>
          <w:szCs w:val="24"/>
        </w:rPr>
        <w:t xml:space="preserve">Kısaca, dijital materyale fiziki müdahaleyi gerektirecek ciddiyette bir hasar söz konusuysa, bu durum imajın alınmasından 2 gün sonra ortaya çıkıyorsa SD kart verilerinin bütünlüğü bozulmuştur ve veri bütünlüğü bozulan bilginin yargılamada kullanılabilmesi mümkün değildir. Yine, dijital delil CMK anlamında ikincil nitelikli ve </w:t>
      </w:r>
      <w:r w:rsidRPr="00614020">
        <w:rPr>
          <w:rFonts w:ascii="Arial Narrow" w:hAnsi="Arial Narrow" w:cs="Times New Roman"/>
          <w:i/>
          <w:sz w:val="24"/>
          <w:szCs w:val="24"/>
        </w:rPr>
        <w:t>“son çare”</w:t>
      </w:r>
      <w:r w:rsidRPr="00614020">
        <w:rPr>
          <w:rFonts w:ascii="Arial Narrow" w:hAnsi="Arial Narrow" w:cs="Times New Roman"/>
          <w:sz w:val="24"/>
          <w:szCs w:val="24"/>
        </w:rPr>
        <w:t xml:space="preserve"> delilidir. Bu delillerin mutlaka birincil nitelikli (tanık, somut bilgi, belge) delillerle desteklemesi gerekir. Fiziki müdahale sonucu elde edilen bir delil, en fazla Hukuk Muhakemeleri Kanunu’ndaki </w:t>
      </w:r>
      <w:r w:rsidRPr="00614020">
        <w:rPr>
          <w:rFonts w:ascii="Arial Narrow" w:hAnsi="Arial Narrow" w:cs="Times New Roman"/>
          <w:i/>
          <w:sz w:val="24"/>
          <w:szCs w:val="24"/>
        </w:rPr>
        <w:t>“delil başlangıcı”</w:t>
      </w:r>
      <w:r w:rsidRPr="00614020">
        <w:rPr>
          <w:rFonts w:ascii="Arial Narrow" w:hAnsi="Arial Narrow" w:cs="Times New Roman"/>
          <w:sz w:val="24"/>
          <w:szCs w:val="24"/>
        </w:rPr>
        <w:t xml:space="preserve"> gibi değerlendirilebilir ve bu da ancak istihbari bilgi ve veri olarak kabul edilebilir. Fakat istihbari bilgilerin CMK anlamında delil olarak kabulü mümkün değildir. Kısaca, Garson fişlemeleri hukuka aykırı delildir ve yargılamalar da kullanılabilmesi mümkün değildir. Kullanılması suretiyle adil yargılanma ve özel yaşama saygı haklarım ihlal edilmiştir.</w:t>
      </w:r>
    </w:p>
    <w:p w14:paraId="439CF40F" w14:textId="77777777" w:rsidR="00B672DE" w:rsidRPr="00614020" w:rsidRDefault="00D64D5A" w:rsidP="00173FA0">
      <w:pPr>
        <w:spacing w:after="120"/>
        <w:jc w:val="both"/>
        <w:rPr>
          <w:rFonts w:ascii="Arial Narrow" w:hAnsi="Arial Narrow" w:cs="Times New Roman"/>
          <w:sz w:val="24"/>
          <w:szCs w:val="24"/>
        </w:rPr>
      </w:pPr>
      <w:r w:rsidRPr="00614020">
        <w:rPr>
          <w:rFonts w:ascii="Arial Narrow" w:hAnsi="Arial Narrow" w:cs="Times New Roman"/>
          <w:sz w:val="24"/>
          <w:szCs w:val="24"/>
        </w:rPr>
        <w:t>Ayrıca, talebimize rağmen Garson isimli gizli tanık duruşmaya getirilmemiş, başka soruşturma ve kovuşturmalarda verdiği ifadelerin okunmasıyla yetinilmiştir. Bu ifadeler ve SD karttan çıkan bilgiler çelişkilerle doludur.</w:t>
      </w:r>
      <w:r w:rsidRPr="00614020">
        <w:rPr>
          <w:rStyle w:val="DipnotBavurusu"/>
          <w:rFonts w:ascii="Arial Narrow" w:hAnsi="Arial Narrow"/>
          <w:sz w:val="24"/>
          <w:szCs w:val="24"/>
        </w:rPr>
        <w:footnoteReference w:id="20"/>
      </w:r>
      <w:r w:rsidRPr="00614020">
        <w:rPr>
          <w:rFonts w:ascii="Arial Narrow" w:hAnsi="Arial Narrow" w:cs="Times New Roman"/>
          <w:sz w:val="24"/>
          <w:szCs w:val="24"/>
        </w:rPr>
        <w:t xml:space="preserve"> </w:t>
      </w:r>
    </w:p>
    <w:p w14:paraId="774BB1AC" w14:textId="77777777" w:rsidR="00D64D5A" w:rsidRPr="00614020" w:rsidRDefault="00B672DE" w:rsidP="00173FA0">
      <w:pPr>
        <w:spacing w:after="120"/>
        <w:jc w:val="both"/>
        <w:rPr>
          <w:rStyle w:val="dairekarari"/>
          <w:rFonts w:ascii="Arial Narrow" w:hAnsi="Arial Narrow" w:cs="Times New Roman"/>
          <w:color w:val="000000"/>
          <w:sz w:val="24"/>
          <w:szCs w:val="24"/>
          <w:shd w:val="clear" w:color="auto" w:fill="FFFFFF"/>
        </w:rPr>
      </w:pPr>
      <w:r w:rsidRPr="00614020">
        <w:rPr>
          <w:rFonts w:ascii="Arial Narrow" w:hAnsi="Arial Narrow" w:cs="Times New Roman"/>
          <w:sz w:val="24"/>
          <w:szCs w:val="24"/>
        </w:rPr>
        <w:t>Talebimize rağmen Garson isimli gizli tanığın duruşmalara getirtilip dinlenmemesi nedeniyle</w:t>
      </w:r>
      <w:r w:rsidR="00D64D5A" w:rsidRPr="00614020">
        <w:rPr>
          <w:rFonts w:ascii="Arial Narrow" w:hAnsi="Arial Narrow" w:cs="Times New Roman"/>
          <w:sz w:val="24"/>
          <w:szCs w:val="24"/>
        </w:rPr>
        <w:t>, tanığa soru sorma, çelişkileri ortadan kaldırma ve tanığın inandırıcılığını ve güvenilirliğini mahkeme huzurunda sorgulama ve lehime sonuç çıkarma imkanı elimden alınmıştır.</w:t>
      </w:r>
      <w:r w:rsidR="00D64D5A" w:rsidRPr="00614020">
        <w:rPr>
          <w:rFonts w:ascii="Arial Narrow" w:hAnsi="Arial Narrow" w:cs="Times New Roman"/>
          <w:bCs/>
          <w:color w:val="000000"/>
          <w:sz w:val="24"/>
          <w:szCs w:val="24"/>
          <w:shd w:val="clear" w:color="auto" w:fill="FFFFFF"/>
        </w:rPr>
        <w:t xml:space="preserve"> M</w:t>
      </w:r>
      <w:r w:rsidR="00D64D5A" w:rsidRPr="00614020">
        <w:rPr>
          <w:rStyle w:val="dairekarari"/>
          <w:rFonts w:ascii="Arial Narrow" w:hAnsi="Arial Narrow" w:cs="Times New Roman"/>
          <w:color w:val="000000"/>
          <w:sz w:val="24"/>
          <w:szCs w:val="24"/>
          <w:shd w:val="clear" w:color="auto" w:fill="FFFFFF"/>
        </w:rPr>
        <w:t xml:space="preserve">ahkûmiyetime karar verilirken diğer hususlarla birlikte, belirleyici ölçüde </w:t>
      </w:r>
      <w:r w:rsidRPr="00614020">
        <w:rPr>
          <w:rStyle w:val="dairekarari"/>
          <w:rFonts w:ascii="Arial Narrow" w:hAnsi="Arial Narrow" w:cs="Times New Roman"/>
          <w:color w:val="000000"/>
          <w:sz w:val="24"/>
          <w:szCs w:val="24"/>
          <w:shd w:val="clear" w:color="auto" w:fill="FFFFFF"/>
        </w:rPr>
        <w:t xml:space="preserve">bu </w:t>
      </w:r>
      <w:r w:rsidR="00D64D5A" w:rsidRPr="00614020">
        <w:rPr>
          <w:rStyle w:val="dairekarari"/>
          <w:rFonts w:ascii="Arial Narrow" w:hAnsi="Arial Narrow" w:cs="Times New Roman"/>
          <w:color w:val="000000"/>
          <w:sz w:val="24"/>
          <w:szCs w:val="24"/>
          <w:shd w:val="clear" w:color="auto" w:fill="FFFFFF"/>
        </w:rPr>
        <w:t>gizli tanığın ifadesine dayanılması sebebiyle gizli tanığın menfaatleri ile haklarım arasında silahların eşitliğine yönelik denge unsuru gözetilmediğinden savunma ve adil yargılanma haklarım ihlâl edilmiştir.</w:t>
      </w:r>
      <w:r w:rsidR="00D64D5A" w:rsidRPr="00614020">
        <w:rPr>
          <w:rStyle w:val="DipnotBavurusu"/>
          <w:rFonts w:ascii="Arial Narrow" w:hAnsi="Arial Narrow"/>
          <w:bCs/>
          <w:color w:val="000000"/>
          <w:sz w:val="24"/>
          <w:szCs w:val="24"/>
          <w:shd w:val="clear" w:color="auto" w:fill="FFFFFF"/>
        </w:rPr>
        <w:footnoteReference w:id="21"/>
      </w:r>
    </w:p>
    <w:p w14:paraId="2DEC059A" w14:textId="5FCAC92D" w:rsidR="006038F0" w:rsidRPr="00614020" w:rsidRDefault="006038F0" w:rsidP="00173FA0">
      <w:pPr>
        <w:tabs>
          <w:tab w:val="left" w:pos="1080"/>
        </w:tabs>
        <w:spacing w:after="120"/>
        <w:jc w:val="both"/>
        <w:rPr>
          <w:rStyle w:val="dairekarari"/>
          <w:rFonts w:ascii="Arial Narrow" w:hAnsi="Arial Narrow" w:cs="Times New Roman"/>
          <w:bCs/>
          <w:color w:val="000000"/>
          <w:sz w:val="24"/>
          <w:szCs w:val="24"/>
          <w:shd w:val="clear" w:color="auto" w:fill="FFFFFF"/>
        </w:rPr>
      </w:pPr>
      <w:r w:rsidRPr="00614020">
        <w:rPr>
          <w:rFonts w:ascii="Arial Narrow" w:hAnsi="Arial Narrow" w:cs="Times New Roman"/>
          <w:iCs/>
          <w:sz w:val="24"/>
          <w:szCs w:val="24"/>
        </w:rPr>
        <w:t xml:space="preserve">Yine, ne şekilde ve kim tarafından oluşturulduğu dosya kapsamından belirlenemeyen ve </w:t>
      </w:r>
      <w:r w:rsidR="009E062F" w:rsidRPr="00614020">
        <w:rPr>
          <w:rFonts w:ascii="Arial Narrow" w:hAnsi="Arial Narrow" w:cs="Times New Roman"/>
          <w:iCs/>
          <w:sz w:val="24"/>
          <w:szCs w:val="24"/>
        </w:rPr>
        <w:t>Garson kod</w:t>
      </w:r>
      <w:r w:rsidRPr="00614020">
        <w:rPr>
          <w:rFonts w:ascii="Arial Narrow" w:hAnsi="Arial Narrow" w:cs="Times New Roman"/>
          <w:iCs/>
          <w:sz w:val="24"/>
          <w:szCs w:val="24"/>
        </w:rPr>
        <w:t xml:space="preserve"> adlı gizli tanık tarafından teslim edilen dijital materyallerin içerisi</w:t>
      </w:r>
      <w:r w:rsidR="009E062F" w:rsidRPr="00614020">
        <w:rPr>
          <w:rFonts w:ascii="Arial Narrow" w:hAnsi="Arial Narrow" w:cs="Times New Roman"/>
          <w:iCs/>
          <w:sz w:val="24"/>
          <w:szCs w:val="24"/>
        </w:rPr>
        <w:t>ndeki bilgiler tek başına</w:t>
      </w:r>
      <w:r w:rsidRPr="00614020">
        <w:rPr>
          <w:rFonts w:ascii="Arial Narrow" w:hAnsi="Arial Narrow" w:cs="Times New Roman"/>
          <w:iCs/>
          <w:sz w:val="24"/>
          <w:szCs w:val="24"/>
        </w:rPr>
        <w:t xml:space="preserve"> </w:t>
      </w:r>
      <w:r w:rsidR="009E062F" w:rsidRPr="00614020">
        <w:rPr>
          <w:rFonts w:ascii="Arial Narrow" w:hAnsi="Arial Narrow" w:cs="Times New Roman"/>
          <w:iCs/>
          <w:sz w:val="24"/>
          <w:szCs w:val="24"/>
        </w:rPr>
        <w:t>örgüt mensubu olunduğun</w:t>
      </w:r>
      <w:r w:rsidRPr="00614020">
        <w:rPr>
          <w:rFonts w:ascii="Arial Narrow" w:hAnsi="Arial Narrow" w:cs="Times New Roman"/>
          <w:iCs/>
          <w:sz w:val="24"/>
          <w:szCs w:val="24"/>
        </w:rPr>
        <w:t>a</w:t>
      </w:r>
      <w:r w:rsidR="009E062F" w:rsidRPr="00614020">
        <w:rPr>
          <w:rFonts w:ascii="Arial Narrow" w:hAnsi="Arial Narrow" w:cs="Times New Roman"/>
          <w:iCs/>
          <w:sz w:val="24"/>
          <w:szCs w:val="24"/>
        </w:rPr>
        <w:t xml:space="preserve"> kanıt olarak ileri sürülme</w:t>
      </w:r>
      <w:r w:rsidR="00BA4CC2">
        <w:rPr>
          <w:rFonts w:ascii="Arial Narrow" w:hAnsi="Arial Narrow" w:cs="Times New Roman"/>
          <w:iCs/>
          <w:sz w:val="24"/>
          <w:szCs w:val="24"/>
        </w:rPr>
        <w:t>k</w:t>
      </w:r>
      <w:r w:rsidRPr="00614020">
        <w:rPr>
          <w:rFonts w:ascii="Arial Narrow" w:hAnsi="Arial Narrow" w:cs="Times New Roman"/>
          <w:iCs/>
          <w:sz w:val="24"/>
          <w:szCs w:val="24"/>
        </w:rPr>
        <w:t xml:space="preserve"> </w:t>
      </w:r>
      <w:r w:rsidR="00BA4CC2">
        <w:rPr>
          <w:rFonts w:ascii="Arial Narrow" w:hAnsi="Arial Narrow" w:cs="Times New Roman"/>
          <w:iCs/>
          <w:sz w:val="24"/>
          <w:szCs w:val="24"/>
        </w:rPr>
        <w:t xml:space="preserve">için </w:t>
      </w:r>
      <w:r w:rsidRPr="00614020">
        <w:rPr>
          <w:rFonts w:ascii="Arial Narrow" w:hAnsi="Arial Narrow" w:cs="Times New Roman"/>
          <w:iCs/>
          <w:sz w:val="24"/>
          <w:szCs w:val="24"/>
        </w:rPr>
        <w:t xml:space="preserve">yeterli </w:t>
      </w:r>
      <w:r w:rsidR="009E062F" w:rsidRPr="00614020">
        <w:rPr>
          <w:rFonts w:ascii="Arial Narrow" w:hAnsi="Arial Narrow" w:cs="Times New Roman"/>
          <w:iCs/>
          <w:sz w:val="24"/>
          <w:szCs w:val="24"/>
        </w:rPr>
        <w:t>değildir. İ</w:t>
      </w:r>
      <w:r w:rsidRPr="00614020">
        <w:rPr>
          <w:rFonts w:ascii="Arial Narrow" w:hAnsi="Arial Narrow" w:cs="Times New Roman"/>
          <w:iCs/>
          <w:sz w:val="24"/>
          <w:szCs w:val="24"/>
        </w:rPr>
        <w:t xml:space="preserve">snat edilen suçun oluşabilmesi için; sanığın süreklilik, çeşitlilik ve yoğunluk gösteren eylemlerle örgüt </w:t>
      </w:r>
      <w:r w:rsidR="009E062F" w:rsidRPr="00614020">
        <w:rPr>
          <w:rFonts w:ascii="Arial Narrow" w:hAnsi="Arial Narrow" w:cs="Times New Roman"/>
          <w:iCs/>
          <w:sz w:val="24"/>
          <w:szCs w:val="24"/>
        </w:rPr>
        <w:t>faaliyetlerine iştirak etmesi</w:t>
      </w:r>
      <w:r w:rsidRPr="00614020">
        <w:rPr>
          <w:rFonts w:ascii="Arial Narrow" w:hAnsi="Arial Narrow" w:cs="Times New Roman"/>
          <w:iCs/>
          <w:sz w:val="24"/>
          <w:szCs w:val="24"/>
        </w:rPr>
        <w:t xml:space="preserve"> ve örgütün nihai amacı doğru</w:t>
      </w:r>
      <w:r w:rsidR="009E062F" w:rsidRPr="00614020">
        <w:rPr>
          <w:rFonts w:ascii="Arial Narrow" w:hAnsi="Arial Narrow" w:cs="Times New Roman"/>
          <w:iCs/>
          <w:sz w:val="24"/>
          <w:szCs w:val="24"/>
        </w:rPr>
        <w:t>ltusunda eylemlerde bulunması</w:t>
      </w:r>
      <w:r w:rsidRPr="00614020">
        <w:rPr>
          <w:rFonts w:ascii="Arial Narrow" w:hAnsi="Arial Narrow" w:cs="Times New Roman"/>
          <w:iCs/>
          <w:sz w:val="24"/>
          <w:szCs w:val="24"/>
        </w:rPr>
        <w:t xml:space="preserve"> gerek</w:t>
      </w:r>
      <w:r w:rsidR="009E062F" w:rsidRPr="00614020">
        <w:rPr>
          <w:rFonts w:ascii="Arial Narrow" w:hAnsi="Arial Narrow" w:cs="Times New Roman"/>
          <w:iCs/>
          <w:sz w:val="24"/>
          <w:szCs w:val="24"/>
        </w:rPr>
        <w:t>ir. SD karttaki bilgiler,</w:t>
      </w:r>
      <w:r w:rsidRPr="00614020">
        <w:rPr>
          <w:rFonts w:ascii="Arial Narrow" w:hAnsi="Arial Narrow" w:cs="Times New Roman"/>
          <w:iCs/>
          <w:sz w:val="24"/>
          <w:szCs w:val="24"/>
        </w:rPr>
        <w:t xml:space="preserve"> bunları hazırlayan şahsın kanaatini ifade et</w:t>
      </w:r>
      <w:r w:rsidR="009E062F" w:rsidRPr="00614020">
        <w:rPr>
          <w:rFonts w:ascii="Arial Narrow" w:hAnsi="Arial Narrow" w:cs="Times New Roman"/>
          <w:iCs/>
          <w:sz w:val="24"/>
          <w:szCs w:val="24"/>
        </w:rPr>
        <w:t>mekte olup</w:t>
      </w:r>
      <w:r w:rsidRPr="00614020">
        <w:rPr>
          <w:rFonts w:ascii="Arial Narrow" w:hAnsi="Arial Narrow" w:cs="Times New Roman"/>
          <w:iCs/>
          <w:sz w:val="24"/>
          <w:szCs w:val="24"/>
        </w:rPr>
        <w:t xml:space="preserve"> örgütsel faaliyeti gösterip ispat etmeye yeterli </w:t>
      </w:r>
      <w:r w:rsidR="009E062F" w:rsidRPr="00614020">
        <w:rPr>
          <w:rFonts w:ascii="Arial Narrow" w:hAnsi="Arial Narrow" w:cs="Times New Roman"/>
          <w:iCs/>
          <w:sz w:val="24"/>
          <w:szCs w:val="24"/>
        </w:rPr>
        <w:t>değildir.</w:t>
      </w:r>
      <w:r w:rsidR="00BA4CC2">
        <w:rPr>
          <w:rFonts w:ascii="Arial Narrow" w:hAnsi="Arial Narrow" w:cs="Times New Roman"/>
          <w:iCs/>
          <w:sz w:val="24"/>
          <w:szCs w:val="24"/>
        </w:rPr>
        <w:t xml:space="preserve"> Kaldı ki, ortada ne silahlı bir örgüt, ne de bu örgütün üyeliği söz konusudur.</w:t>
      </w:r>
    </w:p>
    <w:p w14:paraId="529FB0FF" w14:textId="21743D93" w:rsidR="00F24E05" w:rsidRDefault="009E062F" w:rsidP="00173FA0">
      <w:pPr>
        <w:pStyle w:val="DipnotMetni"/>
        <w:spacing w:after="120"/>
        <w:rPr>
          <w:rFonts w:ascii="Arial Narrow" w:hAnsi="Arial Narrow"/>
          <w:color w:val="000000"/>
          <w:sz w:val="24"/>
          <w:szCs w:val="24"/>
        </w:rPr>
      </w:pPr>
      <w:r w:rsidRPr="00614020">
        <w:rPr>
          <w:rFonts w:ascii="Arial Narrow" w:hAnsi="Arial Narrow"/>
          <w:sz w:val="24"/>
          <w:szCs w:val="24"/>
        </w:rPr>
        <w:t>Anayasanın,</w:t>
      </w:r>
      <w:r w:rsidR="00D64D5A" w:rsidRPr="00614020">
        <w:rPr>
          <w:rFonts w:ascii="Arial Narrow" w:hAnsi="Arial Narrow"/>
          <w:sz w:val="24"/>
          <w:szCs w:val="24"/>
        </w:rPr>
        <w:t xml:space="preserve"> özel hayatın gizliliği ve korunması başlıklı 20. maddesi ile 6698 sayılı Kişisel Verilerin Korunması Kanunu, TC kimlik numaraları dahil kişilerin özel bilgilerini yasal teminat altına almıştır. TCK’nin 135/1 ve 135/2. maddelerinde de </w:t>
      </w:r>
      <w:r w:rsidR="00D64D5A" w:rsidRPr="00614020">
        <w:rPr>
          <w:rFonts w:ascii="Arial Narrow" w:hAnsi="Arial Narrow"/>
          <w:i/>
          <w:sz w:val="24"/>
          <w:szCs w:val="24"/>
        </w:rPr>
        <w:t>“siyasi, felsefi veya dini görüşlerine, hukuka aykırı olarak ahlaki eğilimlerine, cinsel yaşamlarına”</w:t>
      </w:r>
      <w:r w:rsidR="00D64D5A" w:rsidRPr="00614020">
        <w:rPr>
          <w:rFonts w:ascii="Arial Narrow" w:hAnsi="Arial Narrow"/>
          <w:sz w:val="24"/>
          <w:szCs w:val="24"/>
        </w:rPr>
        <w:t xml:space="preserve"> göre fişlemeye hapis cezası öngörürken, hakkımda gerçeğe aykırı FİŞLEMELERİ ile işlem yapılması, TCK’ya, Anayasa’nın 20 ile 38. maddelerine ve AİHS’in 6 ila 8. maddeleri açıkça aykırıdır. Kısaca, hukuka aykırı elde edilen SD karttaki fişleme bilgileriyle </w:t>
      </w:r>
      <w:r w:rsidR="008C311B">
        <w:rPr>
          <w:rFonts w:ascii="Arial Narrow" w:hAnsi="Arial Narrow"/>
          <w:sz w:val="24"/>
          <w:szCs w:val="24"/>
        </w:rPr>
        <w:t xml:space="preserve">başvurucu </w:t>
      </w:r>
      <w:r w:rsidR="00D64D5A" w:rsidRPr="00614020">
        <w:rPr>
          <w:rFonts w:ascii="Arial Narrow" w:hAnsi="Arial Narrow"/>
          <w:sz w:val="24"/>
          <w:szCs w:val="24"/>
        </w:rPr>
        <w:t>hakkı</w:t>
      </w:r>
      <w:r w:rsidR="008C311B">
        <w:rPr>
          <w:rFonts w:ascii="Arial Narrow" w:hAnsi="Arial Narrow"/>
          <w:sz w:val="24"/>
          <w:szCs w:val="24"/>
        </w:rPr>
        <w:t>n</w:t>
      </w:r>
      <w:r w:rsidR="00D64D5A" w:rsidRPr="00614020">
        <w:rPr>
          <w:rFonts w:ascii="Arial Narrow" w:hAnsi="Arial Narrow"/>
          <w:sz w:val="24"/>
          <w:szCs w:val="24"/>
        </w:rPr>
        <w:t xml:space="preserve">da mahkumiyet kararı verilmesi </w:t>
      </w:r>
      <w:r w:rsidR="00D64D5A" w:rsidRPr="00614020">
        <w:rPr>
          <w:rFonts w:ascii="Arial Narrow" w:hAnsi="Arial Narrow"/>
          <w:b/>
          <w:sz w:val="24"/>
          <w:szCs w:val="24"/>
        </w:rPr>
        <w:t>adil yargılanma hakkı</w:t>
      </w:r>
      <w:r w:rsidR="008C311B">
        <w:rPr>
          <w:rFonts w:ascii="Arial Narrow" w:hAnsi="Arial Narrow"/>
          <w:b/>
          <w:sz w:val="24"/>
          <w:szCs w:val="24"/>
        </w:rPr>
        <w:t>n</w:t>
      </w:r>
      <w:r w:rsidR="00D64D5A" w:rsidRPr="00614020">
        <w:rPr>
          <w:rFonts w:ascii="Arial Narrow" w:hAnsi="Arial Narrow"/>
          <w:b/>
          <w:sz w:val="24"/>
          <w:szCs w:val="24"/>
        </w:rPr>
        <w:t>ın ihlaline neden olduğu gibi,</w:t>
      </w:r>
      <w:r w:rsidR="00D64D5A" w:rsidRPr="00614020">
        <w:rPr>
          <w:rFonts w:ascii="Arial Narrow" w:hAnsi="Arial Narrow"/>
          <w:sz w:val="24"/>
          <w:szCs w:val="24"/>
        </w:rPr>
        <w:t xml:space="preserve"> kişisel bilgileri</w:t>
      </w:r>
      <w:r w:rsidR="008C311B">
        <w:rPr>
          <w:rFonts w:ascii="Arial Narrow" w:hAnsi="Arial Narrow"/>
          <w:sz w:val="24"/>
          <w:szCs w:val="24"/>
        </w:rPr>
        <w:t>n</w:t>
      </w:r>
      <w:r w:rsidR="00D64D5A" w:rsidRPr="00614020">
        <w:rPr>
          <w:rFonts w:ascii="Arial Narrow" w:hAnsi="Arial Narrow"/>
          <w:sz w:val="24"/>
          <w:szCs w:val="24"/>
        </w:rPr>
        <w:t xml:space="preserve">in hukuka aykırı şekilde kaydedilip depolanması nedeniyle </w:t>
      </w:r>
      <w:r w:rsidR="00D64D5A" w:rsidRPr="00614020">
        <w:rPr>
          <w:rFonts w:ascii="Arial Narrow" w:hAnsi="Arial Narrow"/>
          <w:b/>
          <w:sz w:val="24"/>
          <w:szCs w:val="24"/>
        </w:rPr>
        <w:t xml:space="preserve">özel yaşama saygı hakkı da ihlal edilmiştir. </w:t>
      </w:r>
      <w:r w:rsidR="00D64D5A" w:rsidRPr="00614020">
        <w:rPr>
          <w:rFonts w:ascii="Arial Narrow" w:hAnsi="Arial Narrow"/>
          <w:sz w:val="24"/>
          <w:szCs w:val="24"/>
        </w:rPr>
        <w:t xml:space="preserve">Zira AİHM verdiği bir kararında, güvenlik güçleri tarafından gizli izleme metotları kullanmaksızın belirli kişiler hakkında sistematik veri toplanması ve depolanmasının, bu veriler açık kaynaktan temin edilse bile kişilerin </w:t>
      </w:r>
      <w:r w:rsidR="00D64D5A" w:rsidRPr="00614020">
        <w:rPr>
          <w:rFonts w:ascii="Arial Narrow" w:hAnsi="Arial Narrow"/>
          <w:sz w:val="24"/>
          <w:szCs w:val="24"/>
        </w:rPr>
        <w:lastRenderedPageBreak/>
        <w:t>özel yaşamlarına müdahale oluşturacağını, bu bilgilerin kişinin uzak geçmişi ile ilgili olması halinde de aynı müdahalenin varlığının kabul edileceğini belirtmiştir</w:t>
      </w:r>
      <w:r w:rsidR="00D64D5A" w:rsidRPr="00614020">
        <w:rPr>
          <w:rFonts w:ascii="Arial Narrow" w:hAnsi="Arial Narrow"/>
          <w:color w:val="000000"/>
          <w:sz w:val="24"/>
          <w:szCs w:val="24"/>
        </w:rPr>
        <w:t>.</w:t>
      </w:r>
      <w:r w:rsidR="00D64D5A" w:rsidRPr="00614020">
        <w:rPr>
          <w:rStyle w:val="DipnotBavurusu"/>
          <w:rFonts w:ascii="Arial Narrow" w:hAnsi="Arial Narrow"/>
          <w:color w:val="000000"/>
          <w:sz w:val="24"/>
          <w:szCs w:val="24"/>
        </w:rPr>
        <w:footnoteReference w:id="22"/>
      </w:r>
    </w:p>
    <w:p w14:paraId="53977950" w14:textId="30C98B99" w:rsidR="004C4070" w:rsidRPr="00614020" w:rsidRDefault="008324DA" w:rsidP="00173FA0">
      <w:pPr>
        <w:shd w:val="clear" w:color="auto" w:fill="FFFFFF"/>
        <w:spacing w:after="120"/>
        <w:jc w:val="both"/>
        <w:rPr>
          <w:rFonts w:ascii="Arial Narrow" w:eastAsia="Times New Roman" w:hAnsi="Arial Narrow" w:cs="Times New Roman"/>
          <w:b/>
          <w:bCs/>
          <w:sz w:val="24"/>
          <w:szCs w:val="24"/>
          <w:lang w:eastAsia="tr-TR"/>
        </w:rPr>
      </w:pPr>
      <w:r>
        <w:rPr>
          <w:rFonts w:ascii="Arial Narrow" w:eastAsia="Times New Roman" w:hAnsi="Arial Narrow" w:cs="Times New Roman"/>
          <w:b/>
          <w:bCs/>
          <w:sz w:val="24"/>
          <w:szCs w:val="24"/>
          <w:lang w:eastAsia="tr-TR"/>
        </w:rPr>
        <w:t>6</w:t>
      </w:r>
      <w:r w:rsidR="00AD23C0" w:rsidRPr="00614020">
        <w:rPr>
          <w:rFonts w:ascii="Arial Narrow" w:eastAsia="Times New Roman" w:hAnsi="Arial Narrow" w:cs="Times New Roman"/>
          <w:b/>
          <w:bCs/>
          <w:sz w:val="24"/>
          <w:szCs w:val="24"/>
          <w:lang w:eastAsia="tr-TR"/>
        </w:rPr>
        <w:t xml:space="preserve">) </w:t>
      </w:r>
      <w:r w:rsidR="009A5F7F" w:rsidRPr="00614020">
        <w:rPr>
          <w:rFonts w:ascii="Arial Narrow" w:eastAsia="Times New Roman" w:hAnsi="Arial Narrow" w:cs="Times New Roman"/>
          <w:b/>
          <w:bCs/>
          <w:sz w:val="24"/>
          <w:szCs w:val="24"/>
          <w:lang w:eastAsia="tr-TR"/>
        </w:rPr>
        <w:t xml:space="preserve">Kanunsuz </w:t>
      </w:r>
      <w:r w:rsidR="00AD23C0" w:rsidRPr="00614020">
        <w:rPr>
          <w:rFonts w:ascii="Arial Narrow" w:eastAsia="Times New Roman" w:hAnsi="Arial Narrow" w:cs="Times New Roman"/>
          <w:b/>
          <w:bCs/>
          <w:sz w:val="24"/>
          <w:szCs w:val="24"/>
          <w:lang w:eastAsia="tr-TR"/>
        </w:rPr>
        <w:t>Suç ve Ceza</w:t>
      </w:r>
      <w:r w:rsidR="009A5F7F" w:rsidRPr="00614020">
        <w:rPr>
          <w:rFonts w:ascii="Arial Narrow" w:eastAsia="Times New Roman" w:hAnsi="Arial Narrow" w:cs="Times New Roman"/>
          <w:b/>
          <w:bCs/>
          <w:sz w:val="24"/>
          <w:szCs w:val="24"/>
          <w:lang w:eastAsia="tr-TR"/>
        </w:rPr>
        <w:t xml:space="preserve"> Olmaz</w:t>
      </w:r>
      <w:r w:rsidR="001A314E" w:rsidRPr="00614020">
        <w:rPr>
          <w:rFonts w:ascii="Arial Narrow" w:eastAsia="Times New Roman" w:hAnsi="Arial Narrow" w:cs="Times New Roman"/>
          <w:b/>
          <w:bCs/>
          <w:sz w:val="24"/>
          <w:szCs w:val="24"/>
          <w:lang w:eastAsia="tr-TR"/>
        </w:rPr>
        <w:t xml:space="preserve"> İlkesi</w:t>
      </w:r>
    </w:p>
    <w:p w14:paraId="79534AF9" w14:textId="77777777" w:rsidR="008C311B" w:rsidRPr="00EC42C7" w:rsidRDefault="008C311B" w:rsidP="00173FA0">
      <w:pPr>
        <w:pStyle w:val="Default"/>
        <w:spacing w:after="120" w:line="276" w:lineRule="auto"/>
        <w:ind w:right="-22"/>
        <w:jc w:val="both"/>
        <w:rPr>
          <w:rFonts w:ascii="Arial Narrow" w:hAnsi="Arial Narrow"/>
          <w:color w:val="auto"/>
          <w:sz w:val="23"/>
          <w:szCs w:val="23"/>
        </w:rPr>
      </w:pPr>
      <w:r w:rsidRPr="00EC42C7">
        <w:rPr>
          <w:rFonts w:ascii="Arial Narrow" w:hAnsi="Arial Narrow"/>
          <w:color w:val="auto"/>
          <w:sz w:val="23"/>
          <w:szCs w:val="23"/>
        </w:rPr>
        <w:t>Ceza mevzuatı</w:t>
      </w:r>
      <w:r>
        <w:rPr>
          <w:rFonts w:ascii="Arial Narrow" w:hAnsi="Arial Narrow"/>
          <w:color w:val="auto"/>
          <w:sz w:val="23"/>
          <w:szCs w:val="23"/>
        </w:rPr>
        <w:t>n</w:t>
      </w:r>
      <w:r w:rsidRPr="00EC42C7">
        <w:rPr>
          <w:rFonts w:ascii="Arial Narrow" w:hAnsi="Arial Narrow"/>
          <w:color w:val="auto"/>
          <w:sz w:val="23"/>
          <w:szCs w:val="23"/>
        </w:rPr>
        <w:t xml:space="preserve">da silahlı örgüt TCK’nın 314. maddesinde düzenlenmiş, fakat tanımı açıkça yapılmamıştır. Silahlı örgüt; aynı zamanda bir terör örgütü olduğundan, TMK’nın 7/1. ve TCK 314/3. maddelerindeki atıf nedeniyle suç örgütüne ilişkin TCK’nın 220. maddesindeki unsurlarla birlikte TCK’nın 314. maddesinde belirtilen unsurların bir araya gelmesiyle oluşan yapıdır. Söz konusu unsurların içeriği yıllar içinde Yargıtay içtihatlarıyla ortaya konulmuştur. </w:t>
      </w:r>
    </w:p>
    <w:p w14:paraId="0B70239A" w14:textId="77777777" w:rsidR="008C311B" w:rsidRPr="00EC42C7" w:rsidRDefault="008C311B" w:rsidP="00173FA0">
      <w:pPr>
        <w:pStyle w:val="Default"/>
        <w:spacing w:after="120" w:line="276" w:lineRule="auto"/>
        <w:ind w:right="-22"/>
        <w:jc w:val="both"/>
        <w:rPr>
          <w:rFonts w:ascii="Arial Narrow" w:hAnsi="Arial Narrow"/>
          <w:color w:val="auto"/>
          <w:sz w:val="23"/>
          <w:szCs w:val="23"/>
        </w:rPr>
      </w:pPr>
      <w:r w:rsidRPr="00EC42C7">
        <w:rPr>
          <w:rFonts w:ascii="Arial Narrow" w:hAnsi="Arial Narrow"/>
          <w:color w:val="auto"/>
          <w:sz w:val="23"/>
          <w:szCs w:val="23"/>
        </w:rPr>
        <w:t xml:space="preserve">Silahlı örgütler, Devletin güvenliğine, ülke bütünlüğüne ve Anayasal düzene karşı ağır ve yakın zarar tehlikesi yaratan oluşumlar olup eylemleri bir tehlike suçu olarak kabul edilmiştir. Ancak, bu tehlikenin </w:t>
      </w:r>
      <w:r w:rsidRPr="00EC42C7">
        <w:rPr>
          <w:rFonts w:ascii="Arial Narrow" w:hAnsi="Arial Narrow"/>
          <w:i/>
          <w:color w:val="auto"/>
          <w:sz w:val="23"/>
          <w:szCs w:val="23"/>
        </w:rPr>
        <w:t>"maddi bir fiil"</w:t>
      </w:r>
      <w:r w:rsidRPr="00EC42C7">
        <w:rPr>
          <w:rFonts w:ascii="Arial Narrow" w:hAnsi="Arial Narrow"/>
          <w:color w:val="auto"/>
          <w:sz w:val="23"/>
          <w:szCs w:val="23"/>
        </w:rPr>
        <w:t xml:space="preserve"> ile ve </w:t>
      </w:r>
      <w:r w:rsidRPr="00EC42C7">
        <w:rPr>
          <w:rFonts w:ascii="Arial Narrow" w:hAnsi="Arial Narrow"/>
          <w:i/>
          <w:color w:val="auto"/>
          <w:sz w:val="23"/>
          <w:szCs w:val="23"/>
        </w:rPr>
        <w:t>"ciddi"</w:t>
      </w:r>
      <w:r w:rsidRPr="00EC42C7">
        <w:rPr>
          <w:rFonts w:ascii="Arial Narrow" w:hAnsi="Arial Narrow"/>
          <w:color w:val="auto"/>
          <w:sz w:val="23"/>
          <w:szCs w:val="23"/>
        </w:rPr>
        <w:t xml:space="preserve"> olarak ortaya çıkması gerekir. Yargı bu unsurların oluştuğunu </w:t>
      </w:r>
      <w:r w:rsidRPr="00EC42C7">
        <w:rPr>
          <w:rFonts w:ascii="Arial Narrow" w:hAnsi="Arial Narrow"/>
          <w:i/>
          <w:color w:val="auto"/>
          <w:sz w:val="23"/>
          <w:szCs w:val="23"/>
        </w:rPr>
        <w:t>“matuf eylem”</w:t>
      </w:r>
      <w:r w:rsidRPr="00EC42C7">
        <w:rPr>
          <w:rFonts w:ascii="Arial Narrow" w:hAnsi="Arial Narrow"/>
          <w:color w:val="auto"/>
          <w:sz w:val="23"/>
          <w:szCs w:val="23"/>
        </w:rPr>
        <w:t xml:space="preserve"> ile tespit eder. Bir yapılanmanın amacının ne olduğuna, </w:t>
      </w:r>
      <w:r w:rsidRPr="00EC42C7">
        <w:rPr>
          <w:rFonts w:ascii="Arial Narrow" w:hAnsi="Arial Narrow"/>
          <w:i/>
          <w:color w:val="auto"/>
          <w:sz w:val="23"/>
          <w:szCs w:val="23"/>
        </w:rPr>
        <w:t>“amaç suça”</w:t>
      </w:r>
      <w:r w:rsidRPr="00EC42C7">
        <w:rPr>
          <w:rFonts w:ascii="Arial Narrow" w:hAnsi="Arial Narrow"/>
          <w:color w:val="auto"/>
          <w:sz w:val="23"/>
          <w:szCs w:val="23"/>
        </w:rPr>
        <w:t xml:space="preserve"> yönelip yönelmediğine, bu amaca ulaşmaya elverişli olup olmadığına, ağır ve yakın bir zarar tehlikesi yaratıp yaratmadığına ve dolayısıyla bu yapılanmanın </w:t>
      </w:r>
      <w:r w:rsidRPr="00EC42C7">
        <w:rPr>
          <w:rFonts w:ascii="Arial Narrow" w:hAnsi="Arial Narrow"/>
          <w:i/>
          <w:color w:val="auto"/>
          <w:sz w:val="23"/>
          <w:szCs w:val="23"/>
        </w:rPr>
        <w:t>"silahlı örgüt"</w:t>
      </w:r>
      <w:r w:rsidRPr="00EC42C7">
        <w:rPr>
          <w:rFonts w:ascii="Arial Narrow" w:hAnsi="Arial Narrow"/>
          <w:color w:val="auto"/>
          <w:sz w:val="23"/>
          <w:szCs w:val="23"/>
        </w:rPr>
        <w:t xml:space="preserve"> olarak kabul edilip edilmeyeceğine </w:t>
      </w:r>
      <w:r w:rsidRPr="00EC42C7">
        <w:rPr>
          <w:rFonts w:ascii="Arial Narrow" w:hAnsi="Arial Narrow"/>
          <w:i/>
          <w:color w:val="auto"/>
          <w:sz w:val="23"/>
          <w:szCs w:val="23"/>
        </w:rPr>
        <w:t>"matuf eylem"</w:t>
      </w:r>
      <w:r w:rsidRPr="00EC42C7">
        <w:rPr>
          <w:rFonts w:ascii="Arial Narrow" w:hAnsi="Arial Narrow"/>
          <w:color w:val="auto"/>
          <w:sz w:val="23"/>
          <w:szCs w:val="23"/>
        </w:rPr>
        <w:t xml:space="preserve"> ile karar verilir. Matuf eylem, silahlı mücadelenin başladığının da göstergesidir. Yani matuf eylem gerçekleştiren yapılanmalar silahlı örgüt (çete) haline gelmiştir.</w:t>
      </w:r>
    </w:p>
    <w:p w14:paraId="68128935" w14:textId="77777777" w:rsidR="008C311B" w:rsidRPr="00EC42C7" w:rsidRDefault="008C311B" w:rsidP="00173FA0">
      <w:pPr>
        <w:pStyle w:val="Default"/>
        <w:spacing w:after="120" w:line="276" w:lineRule="auto"/>
        <w:ind w:right="-22"/>
        <w:jc w:val="both"/>
        <w:rPr>
          <w:rFonts w:ascii="Arial Narrow" w:hAnsi="Arial Narrow"/>
          <w:color w:val="auto"/>
          <w:sz w:val="23"/>
          <w:szCs w:val="23"/>
        </w:rPr>
      </w:pPr>
      <w:r w:rsidRPr="00EC42C7">
        <w:rPr>
          <w:rFonts w:ascii="Arial Narrow" w:hAnsi="Arial Narrow"/>
          <w:color w:val="auto"/>
          <w:sz w:val="23"/>
          <w:szCs w:val="23"/>
        </w:rPr>
        <w:t xml:space="preserve">Yargıtay, suç teşkil eden ve vahamet arz eden eylemleri </w:t>
      </w:r>
      <w:r w:rsidRPr="00EC42C7">
        <w:rPr>
          <w:rFonts w:ascii="Arial Narrow" w:hAnsi="Arial Narrow"/>
          <w:i/>
          <w:color w:val="auto"/>
          <w:sz w:val="23"/>
          <w:szCs w:val="23"/>
        </w:rPr>
        <w:t>"matuf eylem"</w:t>
      </w:r>
      <w:r w:rsidRPr="00EC42C7">
        <w:rPr>
          <w:rFonts w:ascii="Arial Narrow" w:hAnsi="Arial Narrow"/>
          <w:color w:val="auto"/>
          <w:sz w:val="23"/>
          <w:szCs w:val="23"/>
        </w:rPr>
        <w:t xml:space="preserve"> olarak kabul etmektedir. Uygulamada, özellikle kişilerin güvenliğine, hürriyetine veya hayatına yönelik eylemler matuf eylem olarak kabul edilir. Örneğin, güvenlik güçleriyle silahlı çatışma, karakol baskını, silahlı gasp, asker, polis veya sivil vatandaş öldürme veya öldürmeye teşebbüs ve hürriyeti tahdit bu tür eylemlerdendir.</w:t>
      </w:r>
    </w:p>
    <w:p w14:paraId="2A26B449" w14:textId="77777777" w:rsidR="008C311B" w:rsidRPr="00EC42C7" w:rsidRDefault="008C311B" w:rsidP="00173FA0">
      <w:pPr>
        <w:pStyle w:val="Default"/>
        <w:spacing w:after="120" w:line="276" w:lineRule="auto"/>
        <w:ind w:right="-22"/>
        <w:jc w:val="both"/>
        <w:rPr>
          <w:rFonts w:ascii="Arial Narrow" w:hAnsi="Arial Narrow"/>
          <w:color w:val="auto"/>
          <w:sz w:val="23"/>
          <w:szCs w:val="23"/>
        </w:rPr>
      </w:pPr>
      <w:r w:rsidRPr="00EC42C7">
        <w:rPr>
          <w:rFonts w:ascii="Arial Narrow" w:hAnsi="Arial Narrow"/>
          <w:color w:val="auto"/>
          <w:sz w:val="23"/>
          <w:szCs w:val="23"/>
        </w:rPr>
        <w:t xml:space="preserve">2003 yılında TMK’da yapılan değişiklik sonucu gerek terör örgütlerinin ve gerekse silahlı örgütlerin nihai amaçlarına yönelik bir </w:t>
      </w:r>
      <w:r w:rsidRPr="00EC42C7">
        <w:rPr>
          <w:rFonts w:ascii="Arial Narrow" w:hAnsi="Arial Narrow"/>
          <w:i/>
          <w:color w:val="auto"/>
          <w:sz w:val="23"/>
          <w:szCs w:val="23"/>
        </w:rPr>
        <w:t>"suç"</w:t>
      </w:r>
      <w:r w:rsidRPr="00EC42C7">
        <w:rPr>
          <w:rFonts w:ascii="Arial Narrow" w:hAnsi="Arial Narrow"/>
          <w:color w:val="auto"/>
          <w:sz w:val="23"/>
          <w:szCs w:val="23"/>
        </w:rPr>
        <w:t xml:space="preserve"> işlemeleri zorunlu hale gelmiştir. Silahlı örgütün ise terör örgütlerine oranla biraz daha ağır bir suç işlemesi gerekir. Bu suç ise matuf eylemin karşılığı olan matuf (vahim) suçtur. Yargıtay, 2003 değişikliğinden önce de matuf eylemin suç teşkil eden bir fiil olmasını ararken, 2003 değişikliği ile bu husus yasal bir zorunluluk haline gelmiştir. Bu nedenle, bir örgütün TCK'nın 314. maddesi kapsamında silahlı örgüt olarak kabulü için mutlaka matuf eylem (matuf suç) gerçekleştirdiğinin kesinleşmiş bir yargı kararıyla tespiti gerekir. Bunun sonucu olarak silahlı örgüt kabulü, ancak matuf eylem yargılamasında verilecek bir mahkumiyet kararıyla yapılabilir. </w:t>
      </w:r>
    </w:p>
    <w:p w14:paraId="29DF1BEE" w14:textId="77777777" w:rsidR="008C311B" w:rsidRPr="00EC42C7" w:rsidRDefault="008C311B" w:rsidP="00173FA0">
      <w:pPr>
        <w:pStyle w:val="DzMetin"/>
        <w:spacing w:after="120" w:line="276" w:lineRule="auto"/>
        <w:ind w:right="-22"/>
        <w:rPr>
          <w:rFonts w:ascii="Arial Narrow" w:eastAsia="Arial" w:hAnsi="Arial Narrow"/>
          <w:sz w:val="23"/>
          <w:szCs w:val="23"/>
        </w:rPr>
      </w:pPr>
      <w:r w:rsidRPr="00EC42C7">
        <w:rPr>
          <w:rFonts w:ascii="Arial Narrow" w:hAnsi="Arial Narrow"/>
          <w:sz w:val="23"/>
          <w:szCs w:val="23"/>
        </w:rPr>
        <w:t xml:space="preserve">Terör suçlarına bakmak üzere kurulan Yargıtay 9. Ceza Dairesinin silahlı örgüt kabulüne ilişkin </w:t>
      </w:r>
      <w:r w:rsidRPr="00EC42C7">
        <w:rPr>
          <w:rFonts w:ascii="Arial Narrow" w:hAnsi="Arial Narrow"/>
          <w:bCs/>
          <w:sz w:val="23"/>
          <w:szCs w:val="23"/>
        </w:rPr>
        <w:t>pek çok kararında görüleceği üzere,</w:t>
      </w:r>
      <w:r w:rsidRPr="00EC42C7">
        <w:rPr>
          <w:rStyle w:val="DipnotBavurusu"/>
          <w:rFonts w:ascii="Arial Narrow" w:hAnsi="Arial Narrow"/>
          <w:bCs/>
          <w:sz w:val="23"/>
          <w:szCs w:val="23"/>
        </w:rPr>
        <w:footnoteReference w:id="23"/>
      </w:r>
      <w:r w:rsidRPr="00EC42C7">
        <w:rPr>
          <w:rFonts w:ascii="Arial Narrow" w:hAnsi="Arial Narrow"/>
          <w:bCs/>
          <w:sz w:val="23"/>
          <w:szCs w:val="23"/>
        </w:rPr>
        <w:t xml:space="preserve"> silahlı örgüt tespiti ve kabulü ilk matuf eylemden verilen mahkûmiyet hükümlerinin temyiz incelemesinde yapılmıştır. </w:t>
      </w:r>
      <w:r w:rsidRPr="00EC42C7">
        <w:rPr>
          <w:rFonts w:ascii="Arial Narrow" w:eastAsia="Arial" w:hAnsi="Arial Narrow"/>
          <w:sz w:val="23"/>
          <w:szCs w:val="23"/>
        </w:rPr>
        <w:t xml:space="preserve">Yargıtay, bu kararlarında matuf suçtan verilen mahkûmiyet hükümlerinin onanmasına karar verirken, yerel mahkemenin </w:t>
      </w:r>
      <w:r w:rsidRPr="00EC42C7">
        <w:rPr>
          <w:rFonts w:ascii="Arial Narrow" w:eastAsia="Arial" w:hAnsi="Arial Narrow"/>
          <w:i/>
          <w:sz w:val="23"/>
          <w:szCs w:val="23"/>
        </w:rPr>
        <w:t>“silahlı çete”</w:t>
      </w:r>
      <w:r w:rsidRPr="00EC42C7">
        <w:rPr>
          <w:rFonts w:ascii="Arial Narrow" w:eastAsia="Arial" w:hAnsi="Arial Narrow"/>
          <w:sz w:val="23"/>
          <w:szCs w:val="23"/>
        </w:rPr>
        <w:t xml:space="preserve"> kabulünü tasdik ettiğini ve bu tasdiki yaparken de örgütün </w:t>
      </w:r>
      <w:r w:rsidRPr="00EC42C7">
        <w:rPr>
          <w:rFonts w:ascii="Arial Narrow" w:eastAsia="Arial" w:hAnsi="Arial Narrow"/>
          <w:i/>
          <w:sz w:val="23"/>
          <w:szCs w:val="23"/>
        </w:rPr>
        <w:t>"amaca yöneldiğinin ve ciddi tehlike doğurduğunun, vahim nitelikte eylemler gerçekleştirmesi nedeniyle anlaşıldığını”</w:t>
      </w:r>
      <w:r w:rsidRPr="00EC42C7">
        <w:rPr>
          <w:rFonts w:ascii="Arial Narrow" w:eastAsia="Arial" w:hAnsi="Arial Narrow"/>
          <w:sz w:val="23"/>
          <w:szCs w:val="23"/>
        </w:rPr>
        <w:t xml:space="preserve"> belirtmiştir. Yine, kararlarda bu yapılanmaların gerçekleştirdiği matuf (vahim) eylemler tek tek yazılmış, tarih, mağdur, maktul ve sanıklar belirtilerek, bu eylemleri gerçekleştiren örgütün </w:t>
      </w:r>
      <w:r w:rsidRPr="00EC42C7">
        <w:rPr>
          <w:rFonts w:ascii="Arial Narrow" w:eastAsia="Arial" w:hAnsi="Arial Narrow"/>
          <w:i/>
          <w:sz w:val="23"/>
          <w:szCs w:val="23"/>
        </w:rPr>
        <w:t>"silahlı örgüt olarak kabulü isabetlidir"</w:t>
      </w:r>
      <w:r w:rsidRPr="00EC42C7">
        <w:rPr>
          <w:rFonts w:ascii="Arial Narrow" w:eastAsia="Arial" w:hAnsi="Arial Narrow"/>
          <w:sz w:val="23"/>
          <w:szCs w:val="23"/>
        </w:rPr>
        <w:t xml:space="preserve"> denilmiştir.</w:t>
      </w:r>
    </w:p>
    <w:p w14:paraId="6F3F30E8" w14:textId="77777777" w:rsidR="008C311B" w:rsidRDefault="008C311B" w:rsidP="00173FA0">
      <w:pPr>
        <w:spacing w:after="120"/>
        <w:ind w:right="-22"/>
        <w:jc w:val="both"/>
        <w:rPr>
          <w:rFonts w:ascii="Arial Narrow" w:hAnsi="Arial Narrow"/>
          <w:b/>
          <w:bCs/>
          <w:sz w:val="23"/>
          <w:szCs w:val="23"/>
          <w:lang w:eastAsia="tr-TR"/>
        </w:rPr>
      </w:pPr>
      <w:r w:rsidRPr="00EC42C7">
        <w:rPr>
          <w:rFonts w:ascii="Arial Narrow" w:hAnsi="Arial Narrow"/>
          <w:b/>
          <w:bCs/>
          <w:sz w:val="23"/>
          <w:szCs w:val="23"/>
          <w:lang w:eastAsia="tr-TR"/>
        </w:rPr>
        <w:t xml:space="preserve">Bu açıklamalar ışığında, </w:t>
      </w:r>
      <w:r>
        <w:rPr>
          <w:rFonts w:ascii="Arial Narrow" w:hAnsi="Arial Narrow"/>
          <w:b/>
          <w:bCs/>
          <w:sz w:val="23"/>
          <w:szCs w:val="23"/>
          <w:lang w:eastAsia="tr-TR"/>
        </w:rPr>
        <w:t>Yargıtay’ın Cemaati</w:t>
      </w:r>
      <w:r w:rsidRPr="00EC42C7">
        <w:rPr>
          <w:rFonts w:ascii="Arial Narrow" w:hAnsi="Arial Narrow"/>
          <w:b/>
          <w:bCs/>
          <w:sz w:val="23"/>
          <w:szCs w:val="23"/>
          <w:lang w:eastAsia="tr-TR"/>
        </w:rPr>
        <w:t xml:space="preserve"> silahlı örgüt olarak kabul</w:t>
      </w:r>
      <w:r>
        <w:rPr>
          <w:rFonts w:ascii="Arial Narrow" w:hAnsi="Arial Narrow"/>
          <w:b/>
          <w:bCs/>
          <w:sz w:val="23"/>
          <w:szCs w:val="23"/>
          <w:lang w:eastAsia="tr-TR"/>
        </w:rPr>
        <w:t xml:space="preserve"> ettiği ilk kararının (Başer kararı)</w:t>
      </w:r>
      <w:r>
        <w:rPr>
          <w:rStyle w:val="DipnotBavurusu"/>
          <w:b/>
          <w:bCs/>
          <w:sz w:val="23"/>
          <w:szCs w:val="23"/>
          <w:lang w:eastAsia="tr-TR"/>
        </w:rPr>
        <w:footnoteReference w:id="24"/>
      </w:r>
      <w:r w:rsidRPr="00EC42C7">
        <w:rPr>
          <w:rFonts w:ascii="Arial Narrow" w:hAnsi="Arial Narrow"/>
          <w:b/>
          <w:bCs/>
          <w:sz w:val="23"/>
          <w:szCs w:val="23"/>
          <w:lang w:eastAsia="tr-TR"/>
        </w:rPr>
        <w:t xml:space="preserve"> il</w:t>
      </w:r>
      <w:r>
        <w:rPr>
          <w:rFonts w:ascii="Arial Narrow" w:hAnsi="Arial Narrow"/>
          <w:b/>
          <w:bCs/>
          <w:sz w:val="23"/>
          <w:szCs w:val="23"/>
          <w:lang w:eastAsia="tr-TR"/>
        </w:rPr>
        <w:t>gili</w:t>
      </w:r>
      <w:r w:rsidRPr="00EC42C7">
        <w:rPr>
          <w:rFonts w:ascii="Arial Narrow" w:hAnsi="Arial Narrow"/>
          <w:b/>
          <w:bCs/>
          <w:sz w:val="23"/>
          <w:szCs w:val="23"/>
          <w:lang w:eastAsia="tr-TR"/>
        </w:rPr>
        <w:t xml:space="preserve"> kısmını değerlendirmek gerekirse;</w:t>
      </w:r>
    </w:p>
    <w:p w14:paraId="66441E01" w14:textId="77777777" w:rsidR="008C311B" w:rsidRPr="006A31E8" w:rsidRDefault="008C311B" w:rsidP="00173FA0">
      <w:pPr>
        <w:spacing w:after="120"/>
        <w:ind w:right="-22"/>
        <w:jc w:val="both"/>
        <w:rPr>
          <w:rFonts w:ascii="Arial Narrow" w:hAnsi="Arial Narrow"/>
          <w:b/>
          <w:bCs/>
          <w:sz w:val="23"/>
          <w:szCs w:val="23"/>
          <w:lang w:eastAsia="tr-TR"/>
        </w:rPr>
      </w:pPr>
      <w:r>
        <w:rPr>
          <w:rFonts w:ascii="Arial Narrow" w:hAnsi="Arial Narrow"/>
          <w:sz w:val="23"/>
          <w:szCs w:val="23"/>
        </w:rPr>
        <w:lastRenderedPageBreak/>
        <w:t>Yargıtay Ceza Genel Kurulu (</w:t>
      </w:r>
      <w:r w:rsidRPr="00EC42C7">
        <w:rPr>
          <w:rFonts w:ascii="Arial Narrow" w:hAnsi="Arial Narrow"/>
          <w:sz w:val="23"/>
          <w:szCs w:val="23"/>
        </w:rPr>
        <w:t>CGK</w:t>
      </w:r>
      <w:r>
        <w:rPr>
          <w:rFonts w:ascii="Arial Narrow" w:hAnsi="Arial Narrow"/>
          <w:sz w:val="23"/>
          <w:szCs w:val="23"/>
        </w:rPr>
        <w:t>)</w:t>
      </w:r>
      <w:r w:rsidRPr="00EC42C7">
        <w:rPr>
          <w:rFonts w:ascii="Arial Narrow" w:hAnsi="Arial Narrow"/>
          <w:sz w:val="23"/>
          <w:szCs w:val="23"/>
        </w:rPr>
        <w:t xml:space="preserve"> kararında, </w:t>
      </w:r>
      <w:r>
        <w:rPr>
          <w:rFonts w:ascii="Arial Narrow" w:hAnsi="Arial Narrow"/>
          <w:sz w:val="23"/>
          <w:szCs w:val="23"/>
        </w:rPr>
        <w:t>Cemaatin</w:t>
      </w:r>
      <w:r w:rsidRPr="00EC42C7">
        <w:rPr>
          <w:rFonts w:ascii="Arial Narrow" w:hAnsi="Arial Narrow"/>
          <w:sz w:val="23"/>
          <w:szCs w:val="23"/>
        </w:rPr>
        <w:t xml:space="preserve"> </w:t>
      </w:r>
      <w:r w:rsidRPr="00EC42C7">
        <w:rPr>
          <w:rFonts w:ascii="Arial Narrow" w:hAnsi="Arial Narrow"/>
          <w:i/>
          <w:sz w:val="23"/>
          <w:szCs w:val="23"/>
        </w:rPr>
        <w:t>“Türkiye Cumhuriyeti Devleti'nin tüm anayasal kurumlarını ele geçirme amacı taşıyan bir silahlı terör örgütü”</w:t>
      </w:r>
      <w:r w:rsidRPr="00EC42C7">
        <w:rPr>
          <w:rFonts w:ascii="Arial Narrow" w:hAnsi="Arial Narrow"/>
          <w:sz w:val="23"/>
          <w:szCs w:val="23"/>
        </w:rPr>
        <w:t xml:space="preserve"> olduğu belirtilmiş ve bu kabul yapılırken şöyle denilmiştir; </w:t>
      </w:r>
      <w:r w:rsidRPr="00EC42C7">
        <w:rPr>
          <w:rFonts w:ascii="Arial Narrow" w:hAnsi="Arial Narrow"/>
          <w:i/>
          <w:sz w:val="23"/>
          <w:szCs w:val="23"/>
        </w:rPr>
        <w:t>"Emniyet Genel Müdürlüğü kadrolarının etkin birimlerinde ve TSK'da yapılanan FETÖ/PDY, Emniyet ve TSK birimlerinin doğasında var olan cebir ve şiddet kullanma yetkisinin verdiği baskı ve korkutuculuğu kullanmaktadır. Örgüt mensuplarının silahlar üzerinde gerektiğinde tasarruf imkanının bulunması, silahlı terör örgütü suçunun oluşması için gerekli ve yeterli olmakla birlikte; 15.07.2016 tarihinde meydana gelen kalkışma esnasında TSK içerisinde yapılanıp görünürde TSK mensubu olan ve ancak örgüt liderinin emir ve talimatlarıyla hareket eden örgüt mensuplarınca silah kullanılmış, birçok sivil vatandaş ve kamu görevlisi şehit edilmiştir.</w:t>
      </w:r>
    </w:p>
    <w:p w14:paraId="5E3FF197" w14:textId="77777777" w:rsidR="008C311B" w:rsidRPr="00EC42C7" w:rsidRDefault="008C311B" w:rsidP="00173FA0">
      <w:pPr>
        <w:spacing w:after="120"/>
        <w:ind w:right="-22"/>
        <w:jc w:val="both"/>
        <w:rPr>
          <w:rFonts w:ascii="Arial Narrow" w:hAnsi="Arial Narrow"/>
          <w:i/>
          <w:sz w:val="23"/>
          <w:szCs w:val="23"/>
        </w:rPr>
      </w:pPr>
      <w:r w:rsidRPr="00EC42C7">
        <w:rPr>
          <w:rFonts w:ascii="Arial Narrow" w:hAnsi="Arial Narrow"/>
          <w:i/>
          <w:sz w:val="23"/>
          <w:szCs w:val="23"/>
        </w:rPr>
        <w:t>“…amacının Anayasada öngörülen meşru yöntemlerle iktidara gelmek olmayıp örgütün yarattığı kaos ortamı sonucu, demokratik olmayan yöntemlerle cebir şiddet kullanmak suretiyle parlamento, hükümet ve diğer anayasal kurumları feshedip iktidarı ele geçirmek olduğu, bu amaçla, Emniyet, Jandarma teşkilatı, MİT ve Genel Kurmay Başkanlığı gibi kuvvet kullanma yetkisini haiz kurumlara sızan mensupları vasıtasıyla, kendisinden olmayan güvenlik güçlerine, kamu görevlilerine, halka, Cumhurbaşkanlığı Külliyesi, Meclis binası gibi simge binalar ve birçok kamu binasına karşı ağır silahlarla saldırıda bulunmak suretiyle amaç suçu gerçekleştirmeye elverişli öldürme ve yaralama gibi çok sayıda vahim eylem gerçekleştirildiği, anılan örgüt mensupları hakkında 15 Temmuz darbe girişiminden ya da örgüt faaliyetleri kapsamında işlenen diğer bir kısım eylemlere ilişkin bir kısmı derdest olan ya da mahkemelerce karara bağlanan davalar, bu davalarda dinlenen itirafçı sanıkların savunmaları ve gizli-açık tanık anlatımları, bu davalarda verilen mahkeme kararları, örgüt lider ve yöneticilerinin açık kaynaklardaki yazılı ve sözlü açıklamaları, Emniyet Genel Müdürlüğünün örgüt hakkındaki raporu gibi olgu ve tespitler dikkate alındığında;"</w:t>
      </w:r>
    </w:p>
    <w:p w14:paraId="562416E7" w14:textId="77777777" w:rsidR="008C311B" w:rsidRPr="00EC42C7" w:rsidRDefault="008C311B" w:rsidP="00173FA0">
      <w:pPr>
        <w:spacing w:after="120"/>
        <w:ind w:right="-22"/>
        <w:jc w:val="both"/>
        <w:rPr>
          <w:rFonts w:ascii="Arial Narrow" w:hAnsi="Arial Narrow"/>
          <w:i/>
          <w:sz w:val="23"/>
          <w:szCs w:val="23"/>
        </w:rPr>
      </w:pPr>
      <w:r w:rsidRPr="00EC42C7">
        <w:rPr>
          <w:rFonts w:ascii="Arial Narrow" w:hAnsi="Arial Narrow"/>
          <w:i/>
          <w:sz w:val="23"/>
          <w:szCs w:val="23"/>
        </w:rPr>
        <w:t>"...tasarrufunda bulunan araç, gereç ve ağır harp silahları bakımından 5237 sayılı TCK'nun 314 üncü maddesinin birinci ve ikinci fıkraları kapsamında bir silahlı terör örgütü olduğu izahtan varestedir."</w:t>
      </w:r>
    </w:p>
    <w:p w14:paraId="418F8F15" w14:textId="77777777" w:rsidR="008C311B" w:rsidRPr="00EC42C7" w:rsidRDefault="008C311B" w:rsidP="00173FA0">
      <w:pPr>
        <w:pStyle w:val="Default"/>
        <w:spacing w:after="120" w:line="276" w:lineRule="auto"/>
        <w:ind w:right="-22"/>
        <w:jc w:val="both"/>
        <w:rPr>
          <w:rFonts w:ascii="Arial Narrow" w:hAnsi="Arial Narrow"/>
          <w:color w:val="auto"/>
          <w:sz w:val="23"/>
          <w:szCs w:val="23"/>
        </w:rPr>
      </w:pPr>
      <w:r w:rsidRPr="00EC42C7">
        <w:rPr>
          <w:rFonts w:ascii="Arial Narrow" w:hAnsi="Arial Narrow"/>
          <w:color w:val="auto"/>
          <w:sz w:val="23"/>
          <w:szCs w:val="23"/>
        </w:rPr>
        <w:t xml:space="preserve">CGK, silahlı örgütün varlığı için cebir ve şiddet kullanımı zorunlu olmasına rağmen; </w:t>
      </w:r>
      <w:r w:rsidRPr="00EC42C7">
        <w:rPr>
          <w:rFonts w:ascii="Arial Narrow" w:hAnsi="Arial Narrow"/>
          <w:i/>
          <w:color w:val="auto"/>
          <w:sz w:val="23"/>
          <w:szCs w:val="23"/>
        </w:rPr>
        <w:t>“Emniyet ve TSK birimlerinin doğasında var olan cebir ve şiddet kullanma yetkisinin verdiği baskı ve korkutuculuk”</w:t>
      </w:r>
      <w:r w:rsidRPr="00EC42C7">
        <w:rPr>
          <w:rFonts w:ascii="Arial Narrow" w:hAnsi="Arial Narrow"/>
          <w:color w:val="auto"/>
          <w:sz w:val="23"/>
          <w:szCs w:val="23"/>
        </w:rPr>
        <w:t xml:space="preserve"> diyerek cebir ve şiddet olmasa bile böyle bir ihtimalin varlığını yeterli görmüştür. Aynı şekilde, silahlı örgütün </w:t>
      </w:r>
      <w:r w:rsidRPr="00EC42C7">
        <w:rPr>
          <w:rFonts w:ascii="Arial Narrow" w:hAnsi="Arial Narrow"/>
          <w:i/>
          <w:color w:val="auto"/>
          <w:sz w:val="23"/>
          <w:szCs w:val="23"/>
        </w:rPr>
        <w:t>“baskı, korkutma, yıldırma, sindirme veya tehdit yöntemlerinden birini”</w:t>
      </w:r>
      <w:r w:rsidRPr="00EC42C7">
        <w:rPr>
          <w:rFonts w:ascii="Arial Narrow" w:hAnsi="Arial Narrow"/>
          <w:color w:val="auto"/>
          <w:sz w:val="23"/>
          <w:szCs w:val="23"/>
        </w:rPr>
        <w:t xml:space="preserve"> uygulaması zorunlu iken, asker ve polisin var olan yetkisinin bu sonucu doğurduğunu belirterek yasanın hükmüne açıkça aykırı bir değerlendirmede bulunmuştur.</w:t>
      </w:r>
    </w:p>
    <w:p w14:paraId="3B70F970" w14:textId="77777777" w:rsidR="008C311B" w:rsidRPr="00EC42C7" w:rsidRDefault="008C311B" w:rsidP="00173FA0">
      <w:pPr>
        <w:pStyle w:val="Default"/>
        <w:spacing w:after="120" w:line="276" w:lineRule="auto"/>
        <w:ind w:right="-22"/>
        <w:jc w:val="both"/>
        <w:rPr>
          <w:rFonts w:ascii="Arial Narrow" w:hAnsi="Arial Narrow"/>
          <w:color w:val="auto"/>
          <w:sz w:val="23"/>
          <w:szCs w:val="23"/>
        </w:rPr>
      </w:pPr>
      <w:r w:rsidRPr="00EC42C7">
        <w:rPr>
          <w:rFonts w:ascii="Arial Narrow" w:hAnsi="Arial Narrow"/>
          <w:color w:val="auto"/>
          <w:sz w:val="23"/>
          <w:szCs w:val="23"/>
        </w:rPr>
        <w:t xml:space="preserve">Yine, silahlı örgüt için zorunlu olan silah kullanımı için </w:t>
      </w:r>
      <w:r w:rsidRPr="00EC42C7">
        <w:rPr>
          <w:rFonts w:ascii="Arial Narrow" w:hAnsi="Arial Narrow"/>
          <w:i/>
          <w:color w:val="auto"/>
          <w:sz w:val="23"/>
          <w:szCs w:val="23"/>
        </w:rPr>
        <w:t>“örgüt mensuplarının silahlar üzerinde gerektiğinde tasarruf imkanının bulunması yeterli”</w:t>
      </w:r>
      <w:r w:rsidRPr="00EC42C7">
        <w:rPr>
          <w:rFonts w:ascii="Arial Narrow" w:hAnsi="Arial Narrow"/>
          <w:color w:val="auto"/>
          <w:sz w:val="23"/>
          <w:szCs w:val="23"/>
        </w:rPr>
        <w:t xml:space="preserve"> denilerek, silah kullanım zorunluluğu göz ardı edilmiş ve silah kullanma ihtimalinin bulunması yeterli görmüştür. Yani </w:t>
      </w:r>
      <w:r>
        <w:rPr>
          <w:rFonts w:ascii="Arial Narrow" w:hAnsi="Arial Narrow"/>
          <w:color w:val="auto"/>
          <w:sz w:val="23"/>
          <w:szCs w:val="23"/>
        </w:rPr>
        <w:t>cemaatin</w:t>
      </w:r>
      <w:r w:rsidRPr="00EC42C7">
        <w:rPr>
          <w:rFonts w:ascii="Arial Narrow" w:hAnsi="Arial Narrow"/>
          <w:color w:val="auto"/>
          <w:sz w:val="23"/>
          <w:szCs w:val="23"/>
        </w:rPr>
        <w:t xml:space="preserve"> silahlı örgüt olarak kabulünde, bu yapılanma tarafından cebir ve şiddet, baskı, korkutma, yıldırma, sindirme veya tehdit yöntemlerinden birinin ve silah kullanılması yasal zorunluluk olmasına rağmen, kullanılma ihtimalinin varlığı yeterli görmüştür. </w:t>
      </w:r>
    </w:p>
    <w:p w14:paraId="781E0B3C" w14:textId="77777777" w:rsidR="008C311B" w:rsidRPr="00EC42C7" w:rsidRDefault="008C311B" w:rsidP="00173FA0">
      <w:pPr>
        <w:pStyle w:val="Default"/>
        <w:spacing w:after="120" w:line="276" w:lineRule="auto"/>
        <w:ind w:right="-22"/>
        <w:jc w:val="both"/>
        <w:rPr>
          <w:rFonts w:ascii="Arial Narrow" w:hAnsi="Arial Narrow"/>
          <w:color w:val="auto"/>
          <w:sz w:val="23"/>
          <w:szCs w:val="23"/>
        </w:rPr>
      </w:pPr>
      <w:r w:rsidRPr="00EC42C7">
        <w:rPr>
          <w:rFonts w:ascii="Arial Narrow" w:hAnsi="Arial Narrow"/>
          <w:color w:val="auto"/>
          <w:sz w:val="23"/>
          <w:szCs w:val="23"/>
        </w:rPr>
        <w:t xml:space="preserve">Ayrıca, </w:t>
      </w:r>
      <w:r>
        <w:rPr>
          <w:rFonts w:ascii="Arial Narrow" w:hAnsi="Arial Narrow"/>
          <w:color w:val="auto"/>
          <w:sz w:val="23"/>
          <w:szCs w:val="23"/>
        </w:rPr>
        <w:t>Cemaatin</w:t>
      </w:r>
      <w:r w:rsidRPr="00EC42C7">
        <w:rPr>
          <w:rFonts w:ascii="Arial Narrow" w:hAnsi="Arial Narrow"/>
          <w:color w:val="auto"/>
          <w:sz w:val="23"/>
          <w:szCs w:val="23"/>
        </w:rPr>
        <w:t xml:space="preserve"> Emniyet ve TSK'da yapılandığını ve zorunlu olan bu üç unsurun asker ve polisin doğasında var olan cebir ve şiddet ve silah kullanma yetkisinden kaynaklandığı kabul edilmiştir. Oysa ki karar tarihi itibarıyla </w:t>
      </w:r>
      <w:r w:rsidRPr="00EC42C7">
        <w:rPr>
          <w:rFonts w:ascii="Arial Narrow" w:hAnsi="Arial Narrow"/>
          <w:i/>
          <w:color w:val="auto"/>
          <w:sz w:val="23"/>
          <w:szCs w:val="23"/>
        </w:rPr>
        <w:t xml:space="preserve">“bu örgütün üyesi olduğu kabul edilen ve cebir şiddet ya da silah kullanarak eylem yapan ve hakkında kesinleşmiş mahkumiyet kararı bulunan Emniyet veya Türk Silahlı Kuvvetleri mensubu” </w:t>
      </w:r>
      <w:r w:rsidRPr="00EC42C7">
        <w:rPr>
          <w:rFonts w:ascii="Arial Narrow" w:hAnsi="Arial Narrow"/>
          <w:color w:val="auto"/>
          <w:sz w:val="23"/>
          <w:szCs w:val="23"/>
        </w:rPr>
        <w:t xml:space="preserve">bulunmamaktadır. </w:t>
      </w:r>
    </w:p>
    <w:p w14:paraId="33A1FCED" w14:textId="77777777" w:rsidR="008C311B" w:rsidRPr="00EC42C7" w:rsidRDefault="008C311B" w:rsidP="00173FA0">
      <w:pPr>
        <w:pStyle w:val="Default"/>
        <w:spacing w:after="120" w:line="276" w:lineRule="auto"/>
        <w:ind w:right="-22"/>
        <w:jc w:val="both"/>
        <w:rPr>
          <w:rFonts w:ascii="Arial Narrow" w:hAnsi="Arial Narrow"/>
          <w:color w:val="auto"/>
          <w:sz w:val="23"/>
          <w:szCs w:val="23"/>
        </w:rPr>
      </w:pPr>
      <w:r w:rsidRPr="00EC42C7">
        <w:rPr>
          <w:rFonts w:ascii="Arial Narrow" w:hAnsi="Arial Narrow"/>
          <w:color w:val="auto"/>
          <w:sz w:val="23"/>
          <w:szCs w:val="23"/>
        </w:rPr>
        <w:t xml:space="preserve">Aslında zorunlu olan bu üç unsurun gerçekleşmediğinin farkında olan CGK </w:t>
      </w:r>
      <w:r w:rsidRPr="00EC42C7">
        <w:rPr>
          <w:rFonts w:ascii="Arial Narrow" w:hAnsi="Arial Narrow"/>
          <w:i/>
          <w:color w:val="auto"/>
          <w:sz w:val="23"/>
          <w:szCs w:val="23"/>
        </w:rPr>
        <w:t>“15.07.2016 tarihinde örgüt mensuplarınca silah kullanılmış, birçok sivil vatandaş ve kamu görevlisi şehit edilmiştir"</w:t>
      </w:r>
      <w:r w:rsidRPr="00EC42C7">
        <w:rPr>
          <w:rFonts w:ascii="Arial Narrow" w:hAnsi="Arial Narrow"/>
          <w:color w:val="auto"/>
          <w:sz w:val="23"/>
          <w:szCs w:val="23"/>
        </w:rPr>
        <w:t xml:space="preserve"> ifadesini karara ekleyerek, 15/7/2016 tarihli olayları da esas aldığını açıkça ortaya koymuştur. Ancak, CGK’nın silahlı örgüt kabulünde 15/7/2016 tarihinde gerçekleşen eylemleri esas alması hukuken mümkün değildir. Zira ceza yargılaması suç tarihi esas alınarak yapılır ve iddia edilen suçun oluşup oluşmadığı suç tarihi itibarıyla değerlendirilir. Karara konu silahlı örgüt üyeliği suçu bakımından suç tarihleri 30/04/2015 ve 01/05/2015'dir. Dava tarihi ise 18/11/2015'dir ve bu tarihlerden sonra gerçekleşen olaylar hükme esas alınamaz. </w:t>
      </w:r>
    </w:p>
    <w:p w14:paraId="6870DAF3" w14:textId="77777777" w:rsidR="008C311B" w:rsidRPr="00EC42C7" w:rsidRDefault="008C311B" w:rsidP="00173FA0">
      <w:pPr>
        <w:pStyle w:val="Default"/>
        <w:spacing w:after="120" w:line="276" w:lineRule="auto"/>
        <w:ind w:right="-22"/>
        <w:jc w:val="both"/>
        <w:rPr>
          <w:rFonts w:ascii="Arial Narrow" w:hAnsi="Arial Narrow"/>
          <w:color w:val="auto"/>
          <w:sz w:val="23"/>
          <w:szCs w:val="23"/>
        </w:rPr>
      </w:pPr>
      <w:r w:rsidRPr="00EC42C7">
        <w:rPr>
          <w:rFonts w:ascii="Arial Narrow" w:hAnsi="Arial Narrow"/>
          <w:color w:val="auto"/>
          <w:sz w:val="23"/>
          <w:szCs w:val="23"/>
        </w:rPr>
        <w:lastRenderedPageBreak/>
        <w:t xml:space="preserve">CMK'nın kabul ettiği sisteme göre mahkemece ilk oturumda hüküm verilmesi esastır. Mahkemece ilk oturumda karar verilmiş olsaydı 15/7/2016 tarihli olaylar hükme esas alınamayacaktı. Aynı şekilde, yargılamanın uzaması nedeniyle suç tarihinden sonra gerçekleşen olayların da hükme esas alınması mümkün değildir. Ayrıca, CGK'nın karar tarihinde 15/7/2016 tarihli </w:t>
      </w:r>
      <w:r w:rsidRPr="00EC42C7">
        <w:rPr>
          <w:rFonts w:ascii="Arial Narrow" w:hAnsi="Arial Narrow"/>
          <w:i/>
          <w:color w:val="auto"/>
          <w:sz w:val="23"/>
          <w:szCs w:val="23"/>
        </w:rPr>
        <w:t>"matuf eylem yargılamalarının"</w:t>
      </w:r>
      <w:r w:rsidRPr="00EC42C7">
        <w:rPr>
          <w:rFonts w:ascii="Arial Narrow" w:hAnsi="Arial Narrow"/>
          <w:color w:val="auto"/>
          <w:sz w:val="23"/>
          <w:szCs w:val="23"/>
        </w:rPr>
        <w:t xml:space="preserve"> bir kısmı devam etmektedir ve bir kısmı hakkında hüküm verilse bile bunlar kesinleşmemiştir. CGK, derdest olan davaları sanki kesinleşmiş gibi kararına esas alarak </w:t>
      </w:r>
      <w:r w:rsidRPr="00EC42C7">
        <w:rPr>
          <w:rFonts w:ascii="Arial Narrow" w:hAnsi="Arial Narrow"/>
          <w:i/>
          <w:color w:val="auto"/>
          <w:sz w:val="23"/>
          <w:szCs w:val="23"/>
        </w:rPr>
        <w:t>“15 Temmuz vahim eylemlerinin”</w:t>
      </w:r>
      <w:r w:rsidRPr="00EC42C7">
        <w:rPr>
          <w:rFonts w:ascii="Arial Narrow" w:hAnsi="Arial Narrow"/>
          <w:color w:val="auto"/>
          <w:sz w:val="23"/>
          <w:szCs w:val="23"/>
        </w:rPr>
        <w:t xml:space="preserve"> bu yapılanma tarafından gerçekleştirildiğini kabul etmiş ve yine </w:t>
      </w:r>
      <w:r w:rsidRPr="00EC42C7">
        <w:rPr>
          <w:rFonts w:ascii="Arial Narrow" w:hAnsi="Arial Narrow"/>
          <w:i/>
          <w:color w:val="auto"/>
          <w:sz w:val="23"/>
          <w:szCs w:val="23"/>
        </w:rPr>
        <w:t>“15.07.2016 tarihli darbe teşebbüsünü gerçekleştiren, pek çok insanın ölümüne ve yaralanmasına sebebiyet verip, bir çok ağır suçu organize şekilde işleyen FETÖ/PDY silahlı terör örgütü”</w:t>
      </w:r>
      <w:r w:rsidRPr="00EC42C7">
        <w:rPr>
          <w:rFonts w:ascii="Arial Narrow" w:hAnsi="Arial Narrow"/>
          <w:color w:val="auto"/>
          <w:sz w:val="23"/>
          <w:szCs w:val="23"/>
        </w:rPr>
        <w:t xml:space="preserve"> diyerek 15/7/2016 tarihli vahim eylem yargılamalarındaki sanıkları ve bu yapılanmayı peşinen mahkum etmiştir. CGK gibi bir merciinin hukukun en temel ilkesi olan masumiyet karinesi ihlal ederek varsayım ve önyargıyla karar vermesi büyük bir talihsizliktir. Kaldı ki 16. Ceza Dairesi bile kararında bu hususu açıkça kabul eden ifadelerden kaçınmıştır. </w:t>
      </w:r>
    </w:p>
    <w:p w14:paraId="4C8C87B9" w14:textId="77777777" w:rsidR="008C311B" w:rsidRPr="00EC42C7" w:rsidRDefault="008C311B" w:rsidP="00173FA0">
      <w:pPr>
        <w:spacing w:after="120"/>
        <w:ind w:right="-22"/>
        <w:jc w:val="both"/>
        <w:rPr>
          <w:rFonts w:ascii="Arial Narrow" w:hAnsi="Arial Narrow"/>
          <w:sz w:val="23"/>
          <w:szCs w:val="23"/>
        </w:rPr>
      </w:pPr>
      <w:r w:rsidRPr="00EC42C7">
        <w:rPr>
          <w:rFonts w:ascii="Arial Narrow" w:hAnsi="Arial Narrow"/>
          <w:sz w:val="23"/>
          <w:szCs w:val="23"/>
        </w:rPr>
        <w:t xml:space="preserve">Gerek 16. Ceza Dairesi ve gerek CGK kararında 15/7/2016 tarihli eylemler dışında bu yapılanma tarafından gerçekleştirilen </w:t>
      </w:r>
      <w:r w:rsidRPr="00EC42C7">
        <w:rPr>
          <w:rFonts w:ascii="Arial Narrow" w:hAnsi="Arial Narrow"/>
          <w:i/>
          <w:sz w:val="23"/>
          <w:szCs w:val="23"/>
        </w:rPr>
        <w:t>“matuf”</w:t>
      </w:r>
      <w:r w:rsidRPr="00EC42C7">
        <w:rPr>
          <w:rFonts w:ascii="Arial Narrow" w:hAnsi="Arial Narrow"/>
          <w:sz w:val="23"/>
          <w:szCs w:val="23"/>
        </w:rPr>
        <w:t xml:space="preserve">, </w:t>
      </w:r>
      <w:r w:rsidRPr="00EC42C7">
        <w:rPr>
          <w:rFonts w:ascii="Arial Narrow" w:hAnsi="Arial Narrow"/>
          <w:i/>
          <w:sz w:val="23"/>
          <w:szCs w:val="23"/>
        </w:rPr>
        <w:t>“silahlı”</w:t>
      </w:r>
      <w:r w:rsidRPr="00EC42C7">
        <w:rPr>
          <w:rFonts w:ascii="Arial Narrow" w:hAnsi="Arial Narrow"/>
          <w:sz w:val="23"/>
          <w:szCs w:val="23"/>
        </w:rPr>
        <w:t xml:space="preserve"> veya </w:t>
      </w:r>
      <w:r w:rsidRPr="00EC42C7">
        <w:rPr>
          <w:rFonts w:ascii="Arial Narrow" w:hAnsi="Arial Narrow"/>
          <w:i/>
          <w:sz w:val="23"/>
          <w:szCs w:val="23"/>
        </w:rPr>
        <w:t>“cebir şiddet içeren”</w:t>
      </w:r>
      <w:r w:rsidRPr="00EC42C7">
        <w:rPr>
          <w:rFonts w:ascii="Arial Narrow" w:hAnsi="Arial Narrow"/>
          <w:sz w:val="23"/>
          <w:szCs w:val="23"/>
        </w:rPr>
        <w:t xml:space="preserve"> hiç bir eylem gösterilmediği gibi söz konusu yapının </w:t>
      </w:r>
      <w:r w:rsidRPr="00EC42C7">
        <w:rPr>
          <w:rFonts w:ascii="Arial Narrow" w:hAnsi="Arial Narrow"/>
          <w:i/>
          <w:sz w:val="23"/>
          <w:szCs w:val="23"/>
        </w:rPr>
        <w:t>“hukuki görünümlü hukuk dışı yöntemler”</w:t>
      </w:r>
      <w:r w:rsidRPr="00EC42C7">
        <w:rPr>
          <w:rFonts w:ascii="Arial Narrow" w:hAnsi="Arial Narrow"/>
          <w:sz w:val="23"/>
          <w:szCs w:val="23"/>
        </w:rPr>
        <w:t xml:space="preserve"> kullandığı belirtilmiştir. Ancak, silahlı örgütler aynı zamanda suç örgütü ve terör örgütü olduklarından, her ikisinin zorunlu unsurlarını bünyesinde barındırmalıdır. Yani silahlı örgüt kabulünde; suç tarihi itibarıyla TCK’nın 220. maddesindeki suç örgütü ve TMK’nın 7/1. maddesindeki terör örgütünün unsurları ile birlikte TCK’nın 314. maddesindeki unsurların bir arada bulunduğunun kararda gösterilmesi gerekir. Başka bir ifadeyle, örgütün amacı ve amaç suçu, dolayısıyla TCK'nın 302, 309, 311 ve 312. maddelerindeki suçlardan birini işlemek üzere bir araya gelindiği, en az üç kişiden oluştuğu, hiyerarşik yapısı, elverişli olduğu, temadi ettiği, cebir ve şiddet kullandığı, baskı, korkutma, yıldırma, sindirme veya tehdit yöntemlerinden birini uyguladığı, suç işlediği, silahlı olduğu, vahim eylemi ve matuf suçu, kısaca tüm unsurları tamamlanmış bir yapılanma olduğu kararda tespit edilmelidir. </w:t>
      </w:r>
    </w:p>
    <w:p w14:paraId="463FB02E" w14:textId="77777777" w:rsidR="008C311B" w:rsidRPr="00EC42C7" w:rsidRDefault="008C311B" w:rsidP="00173FA0">
      <w:pPr>
        <w:spacing w:after="120"/>
        <w:ind w:right="-22"/>
        <w:jc w:val="both"/>
        <w:rPr>
          <w:rFonts w:ascii="Arial Narrow" w:hAnsi="Arial Narrow"/>
          <w:sz w:val="23"/>
          <w:szCs w:val="23"/>
        </w:rPr>
      </w:pPr>
      <w:r w:rsidRPr="00EC42C7">
        <w:rPr>
          <w:rFonts w:ascii="Arial Narrow" w:hAnsi="Arial Narrow"/>
          <w:sz w:val="23"/>
          <w:szCs w:val="23"/>
        </w:rPr>
        <w:t xml:space="preserve">Ancak CGK kararında, silahlı örgüt için cebir-şiddet ve silah kullanılması zorunlu olmasına rağmen, kullanılma </w:t>
      </w:r>
      <w:r w:rsidRPr="00EC42C7">
        <w:rPr>
          <w:rFonts w:ascii="Arial Narrow" w:hAnsi="Arial Narrow"/>
          <w:i/>
          <w:sz w:val="23"/>
          <w:szCs w:val="23"/>
        </w:rPr>
        <w:t>“ihtimali”</w:t>
      </w:r>
      <w:r w:rsidRPr="00EC42C7">
        <w:rPr>
          <w:rFonts w:ascii="Arial Narrow" w:hAnsi="Arial Narrow"/>
          <w:sz w:val="23"/>
          <w:szCs w:val="23"/>
        </w:rPr>
        <w:t xml:space="preserve"> yeterli kabul edilmiş, bu yapılanma tarafından </w:t>
      </w:r>
      <w:r w:rsidRPr="00EC42C7">
        <w:rPr>
          <w:rFonts w:ascii="Arial Narrow" w:hAnsi="Arial Narrow"/>
          <w:i/>
          <w:sz w:val="23"/>
          <w:szCs w:val="23"/>
        </w:rPr>
        <w:t>“suç işlendiğine”</w:t>
      </w:r>
      <w:r w:rsidRPr="00EC42C7">
        <w:rPr>
          <w:rFonts w:ascii="Arial Narrow" w:hAnsi="Arial Narrow"/>
          <w:sz w:val="23"/>
          <w:szCs w:val="23"/>
        </w:rPr>
        <w:t xml:space="preserve"> dair kesinleşmiş bir yargı kararına ve örgütün </w:t>
      </w:r>
      <w:r w:rsidRPr="00EC42C7">
        <w:rPr>
          <w:rFonts w:ascii="Arial Narrow" w:hAnsi="Arial Narrow"/>
          <w:i/>
          <w:sz w:val="23"/>
          <w:szCs w:val="23"/>
        </w:rPr>
        <w:t>“silah-suç-elverişlilik”</w:t>
      </w:r>
      <w:r w:rsidRPr="00EC42C7">
        <w:rPr>
          <w:rFonts w:ascii="Arial Narrow" w:hAnsi="Arial Narrow"/>
          <w:sz w:val="23"/>
          <w:szCs w:val="23"/>
        </w:rPr>
        <w:t xml:space="preserve"> unsurlarını gösteren </w:t>
      </w:r>
      <w:r w:rsidRPr="00EC42C7">
        <w:rPr>
          <w:rFonts w:ascii="Arial Narrow" w:hAnsi="Arial Narrow"/>
          <w:i/>
          <w:sz w:val="23"/>
          <w:szCs w:val="23"/>
        </w:rPr>
        <w:t>“matuf”</w:t>
      </w:r>
      <w:r w:rsidRPr="00EC42C7">
        <w:rPr>
          <w:rFonts w:ascii="Arial Narrow" w:hAnsi="Arial Narrow"/>
          <w:sz w:val="23"/>
          <w:szCs w:val="23"/>
        </w:rPr>
        <w:t xml:space="preserve"> herhangi bir eylemine yer verilmemiştir.</w:t>
      </w:r>
    </w:p>
    <w:p w14:paraId="1456A4BD" w14:textId="77777777" w:rsidR="008C311B" w:rsidRPr="00EC42C7" w:rsidRDefault="008C311B" w:rsidP="00173FA0">
      <w:pPr>
        <w:spacing w:after="120"/>
        <w:ind w:right="-22"/>
        <w:jc w:val="both"/>
        <w:rPr>
          <w:rFonts w:ascii="Arial Narrow" w:hAnsi="Arial Narrow"/>
          <w:sz w:val="23"/>
          <w:szCs w:val="23"/>
        </w:rPr>
      </w:pPr>
      <w:r w:rsidRPr="00EC42C7">
        <w:rPr>
          <w:rFonts w:ascii="Arial Narrow" w:hAnsi="Arial Narrow"/>
          <w:sz w:val="23"/>
          <w:szCs w:val="23"/>
        </w:rPr>
        <w:t xml:space="preserve">CGK aslında bu zorunlu unsurların suç tarihi itibarıyla bu yapılanmada bulunmadığının farkındadır. Zira kararda, suç tarihi itibariyle mevcut delillerin yeterli olduğu belirtilmesine rağmen, sık sık 15/7/2016 tarihli olayların da bu yapılanma tarafından gerçekleştirildiğine ve </w:t>
      </w:r>
      <w:r w:rsidRPr="00EC42C7">
        <w:rPr>
          <w:rFonts w:ascii="Arial Narrow" w:hAnsi="Arial Narrow"/>
          <w:i/>
          <w:sz w:val="23"/>
          <w:szCs w:val="23"/>
        </w:rPr>
        <w:t>“yeterli olmakla birlikte; 15.07.2016 tarihinde örgüt mensuplarınca silah kullanılmış, birçok sivil vatandaş ve kamu görevlisi şehit edilmiştir"</w:t>
      </w:r>
      <w:r w:rsidRPr="00EC42C7">
        <w:rPr>
          <w:rFonts w:ascii="Arial Narrow" w:hAnsi="Arial Narrow"/>
          <w:sz w:val="23"/>
          <w:szCs w:val="23"/>
        </w:rPr>
        <w:t xml:space="preserve"> gibi ifadelere yer verilmiştir. Yine, CGK bu yapılanmanın amacı gerçekleştirmeye elverişli olduğunu ve amaca yönelik matuf eylem gerçekleştirdiğini kabul etmesine rağmen, </w:t>
      </w:r>
      <w:r w:rsidRPr="00EC42C7">
        <w:rPr>
          <w:rFonts w:ascii="Arial Narrow" w:hAnsi="Arial Narrow"/>
          <w:i/>
          <w:sz w:val="23"/>
          <w:szCs w:val="23"/>
        </w:rPr>
        <w:t>“halka, Cumhurbaşkanlığı Külliyesi, Meclis binası gibi simge binalar ve birçok kamu binasına karşı ağır silahlarla saldırıda bulunmak suretiyle amaç suçu gerçekleştirmeye elverişli öldürme ve yaralama gibi çok sayıda vahim eylem gerçekleştirildiği”</w:t>
      </w:r>
      <w:r w:rsidRPr="00EC42C7">
        <w:rPr>
          <w:rFonts w:ascii="Arial Narrow" w:hAnsi="Arial Narrow"/>
          <w:sz w:val="23"/>
          <w:szCs w:val="23"/>
        </w:rPr>
        <w:t xml:space="preserve"> şeklindeki ifadelere yer vererek 15/7/2016 tarihli olayları esas aldığını ortaya koymuştur.  </w:t>
      </w:r>
    </w:p>
    <w:p w14:paraId="5AFA99D6" w14:textId="77777777" w:rsidR="008C311B" w:rsidRPr="00EC42C7" w:rsidRDefault="008C311B" w:rsidP="00173FA0">
      <w:pPr>
        <w:spacing w:after="120"/>
        <w:ind w:right="-22"/>
        <w:jc w:val="both"/>
        <w:rPr>
          <w:rFonts w:ascii="Arial Narrow" w:hAnsi="Arial Narrow"/>
          <w:sz w:val="23"/>
          <w:szCs w:val="23"/>
        </w:rPr>
      </w:pPr>
      <w:r w:rsidRPr="00EC42C7">
        <w:rPr>
          <w:rFonts w:ascii="Arial Narrow" w:hAnsi="Arial Narrow"/>
          <w:sz w:val="23"/>
          <w:szCs w:val="23"/>
        </w:rPr>
        <w:t xml:space="preserve">Tüm bunlar, suç tarihi itibariyle mevcut delillerin silahlı örgüt bakımından yetersizliğini CGK’nın da kabul ettiğini ve bu nedenle de silahlı örgüt kabulünde 15/7/2016 tarihli olayları esas aldığını göstermektedir. Oysaki bu eylemler, suç tarihinden sonra gerçekleştiği gibi yargılamaları da halen devam etmektedir. Başka bir deyişle, 15/7/2016 tarihli </w:t>
      </w:r>
      <w:r w:rsidRPr="00EC42C7">
        <w:rPr>
          <w:rFonts w:ascii="Arial Narrow" w:hAnsi="Arial Narrow"/>
          <w:i/>
          <w:sz w:val="23"/>
          <w:szCs w:val="23"/>
        </w:rPr>
        <w:t>“matuf eylemlerin”</w:t>
      </w:r>
      <w:r w:rsidRPr="00EC42C7">
        <w:rPr>
          <w:rFonts w:ascii="Arial Narrow" w:hAnsi="Arial Narrow"/>
          <w:sz w:val="23"/>
          <w:szCs w:val="23"/>
        </w:rPr>
        <w:t xml:space="preserve"> bu yapılanma tarafından gerçekleştirildiğine dair kesinleşmiş bir yargı kararı CGK’nın karar tarihi itibarıyla yoktur. Buna rağmen, CGK 15/7/2016 tarihli olayların </w:t>
      </w:r>
      <w:r>
        <w:rPr>
          <w:rFonts w:ascii="Arial Narrow" w:hAnsi="Arial Narrow"/>
          <w:sz w:val="23"/>
          <w:szCs w:val="23"/>
        </w:rPr>
        <w:t>cemaat</w:t>
      </w:r>
      <w:r w:rsidRPr="00EC42C7">
        <w:rPr>
          <w:rFonts w:ascii="Arial Narrow" w:hAnsi="Arial Narrow"/>
          <w:sz w:val="23"/>
          <w:szCs w:val="23"/>
        </w:rPr>
        <w:t xml:space="preserve"> tarafından gerçekleştirildiğini kararına yazabilmiştir.   </w:t>
      </w:r>
    </w:p>
    <w:p w14:paraId="5AEC82E7" w14:textId="77777777" w:rsidR="008C311B" w:rsidRPr="00EC42C7" w:rsidRDefault="008C311B" w:rsidP="00173FA0">
      <w:pPr>
        <w:spacing w:after="120"/>
        <w:ind w:right="-22"/>
        <w:jc w:val="both"/>
        <w:rPr>
          <w:rFonts w:ascii="Arial Narrow" w:hAnsi="Arial Narrow"/>
          <w:sz w:val="23"/>
          <w:szCs w:val="23"/>
        </w:rPr>
      </w:pPr>
      <w:r>
        <w:rPr>
          <w:rFonts w:ascii="Arial Narrow" w:hAnsi="Arial Narrow"/>
          <w:sz w:val="23"/>
          <w:szCs w:val="23"/>
        </w:rPr>
        <w:t>S</w:t>
      </w:r>
      <w:r w:rsidRPr="00EC42C7">
        <w:rPr>
          <w:rFonts w:ascii="Arial Narrow" w:hAnsi="Arial Narrow"/>
          <w:sz w:val="23"/>
          <w:szCs w:val="23"/>
        </w:rPr>
        <w:t xml:space="preserve">ilahlı örgüt kabulü bir </w:t>
      </w:r>
      <w:r w:rsidRPr="00EC42C7">
        <w:rPr>
          <w:rFonts w:ascii="Arial Narrow" w:hAnsi="Arial Narrow"/>
          <w:i/>
          <w:sz w:val="23"/>
          <w:szCs w:val="23"/>
        </w:rPr>
        <w:t>“matuf eylem”</w:t>
      </w:r>
      <w:r w:rsidRPr="00EC42C7">
        <w:rPr>
          <w:rFonts w:ascii="Arial Narrow" w:hAnsi="Arial Narrow"/>
          <w:sz w:val="23"/>
          <w:szCs w:val="23"/>
        </w:rPr>
        <w:t xml:space="preserve"> yargılamasında verilecek mahkumiyet hükmü ile yapılabilir. Yargıtay 16. Ceza Dairesi bu dosyada matuf eylem yargılaması (Hükümete karşı suç-TCK md. 312) yapıp bu suçtan beraat kararı vermesine rağmen, silahlı örgüt kabulü yapmıştır. Ancak, yasa ve yerleşik Yargıtay içtihatları gereğince, matuf eylem yargılaması yapılmayan ve matuf suçtan mahkumiyet kararı verilmeyen yargılamalarda silahlı örgüt </w:t>
      </w:r>
      <w:r w:rsidRPr="00EC42C7">
        <w:rPr>
          <w:rFonts w:ascii="Arial Narrow" w:hAnsi="Arial Narrow"/>
          <w:sz w:val="23"/>
          <w:szCs w:val="23"/>
        </w:rPr>
        <w:lastRenderedPageBreak/>
        <w:t xml:space="preserve">kabulü yapılamaz. Zira matuf eylem gerçekleştirildiği tespit edilemeyen yargılamalarda </w:t>
      </w:r>
      <w:r w:rsidRPr="00EC42C7">
        <w:rPr>
          <w:rFonts w:ascii="Arial Narrow" w:hAnsi="Arial Narrow"/>
          <w:i/>
          <w:sz w:val="23"/>
          <w:szCs w:val="23"/>
        </w:rPr>
        <w:t xml:space="preserve">"silahlı örgüt olduğu iddia edilen" </w:t>
      </w:r>
      <w:r w:rsidRPr="00EC42C7">
        <w:rPr>
          <w:rFonts w:ascii="Arial Narrow" w:hAnsi="Arial Narrow"/>
          <w:sz w:val="23"/>
          <w:szCs w:val="23"/>
        </w:rPr>
        <w:t xml:space="preserve">yapılanmanın </w:t>
      </w:r>
      <w:r w:rsidRPr="00EC42C7">
        <w:rPr>
          <w:rFonts w:ascii="Arial Narrow" w:hAnsi="Arial Narrow"/>
          <w:i/>
          <w:sz w:val="23"/>
          <w:szCs w:val="23"/>
        </w:rPr>
        <w:t>"amaca yöneldiği"</w:t>
      </w:r>
      <w:r w:rsidRPr="00EC42C7">
        <w:rPr>
          <w:rFonts w:ascii="Arial Narrow" w:hAnsi="Arial Narrow"/>
          <w:sz w:val="23"/>
          <w:szCs w:val="23"/>
        </w:rPr>
        <w:t xml:space="preserve">, </w:t>
      </w:r>
      <w:r w:rsidRPr="00EC42C7">
        <w:rPr>
          <w:rFonts w:ascii="Arial Narrow" w:hAnsi="Arial Narrow"/>
          <w:i/>
          <w:sz w:val="23"/>
          <w:szCs w:val="23"/>
        </w:rPr>
        <w:t>"elverişli"</w:t>
      </w:r>
      <w:r w:rsidRPr="00EC42C7">
        <w:rPr>
          <w:rFonts w:ascii="Arial Narrow" w:hAnsi="Arial Narrow"/>
          <w:sz w:val="23"/>
          <w:szCs w:val="23"/>
        </w:rPr>
        <w:t xml:space="preserve"> olduğu ve </w:t>
      </w:r>
      <w:r w:rsidRPr="00EC42C7">
        <w:rPr>
          <w:rFonts w:ascii="Arial Narrow" w:hAnsi="Arial Narrow"/>
          <w:i/>
          <w:sz w:val="23"/>
          <w:szCs w:val="23"/>
        </w:rPr>
        <w:t>"yakın ve ciddi tehlike oluşturduğu"</w:t>
      </w:r>
      <w:r w:rsidRPr="00EC42C7">
        <w:rPr>
          <w:rFonts w:ascii="Arial Narrow" w:hAnsi="Arial Narrow"/>
          <w:sz w:val="23"/>
          <w:szCs w:val="23"/>
        </w:rPr>
        <w:t xml:space="preserve"> hususları da tespit edilemez.</w:t>
      </w:r>
    </w:p>
    <w:p w14:paraId="3E66C1CB" w14:textId="77777777" w:rsidR="008C311B" w:rsidRPr="00EC42C7" w:rsidRDefault="008C311B" w:rsidP="00173FA0">
      <w:pPr>
        <w:pStyle w:val="Default"/>
        <w:spacing w:after="120" w:line="276" w:lineRule="auto"/>
        <w:ind w:right="-22"/>
        <w:jc w:val="both"/>
        <w:rPr>
          <w:rFonts w:ascii="Arial Narrow" w:hAnsi="Arial Narrow"/>
          <w:sz w:val="23"/>
          <w:szCs w:val="23"/>
        </w:rPr>
      </w:pPr>
      <w:r w:rsidRPr="00EC42C7">
        <w:rPr>
          <w:rFonts w:ascii="Arial Narrow" w:hAnsi="Arial Narrow"/>
          <w:color w:val="auto"/>
          <w:sz w:val="23"/>
          <w:szCs w:val="23"/>
        </w:rPr>
        <w:t xml:space="preserve">CGK, silahlı örgüt kabulünde matuf eyleme dayanıp dayanmadığını açıkça belirtmemiştir. Kararda </w:t>
      </w:r>
      <w:r w:rsidRPr="00EC42C7">
        <w:rPr>
          <w:rFonts w:ascii="Arial Narrow" w:hAnsi="Arial Narrow"/>
          <w:i/>
          <w:color w:val="auto"/>
          <w:sz w:val="23"/>
          <w:szCs w:val="23"/>
        </w:rPr>
        <w:t>“matuf”</w:t>
      </w:r>
      <w:r w:rsidRPr="00EC42C7">
        <w:rPr>
          <w:rFonts w:ascii="Arial Narrow" w:hAnsi="Arial Narrow"/>
          <w:color w:val="auto"/>
          <w:sz w:val="23"/>
          <w:szCs w:val="23"/>
        </w:rPr>
        <w:t xml:space="preserve"> sayılabilecek türden gösterilen tek eylem 15/7/2016 tarihli olaylardır. Eğer, CGK silahlı örgüt kabulü için matuf eylemin gerekli olmadığını düşünüyorsa bu düşünce yasal değildir. Eğer, matuf eylem gereklidir ve 15/7/2016 tarihli eylemleri esas aldım derse bu da hukuken bu mümkün değildir.</w:t>
      </w:r>
      <w:r>
        <w:rPr>
          <w:rFonts w:ascii="Arial Narrow" w:hAnsi="Arial Narrow"/>
          <w:color w:val="auto"/>
          <w:sz w:val="23"/>
          <w:szCs w:val="23"/>
        </w:rPr>
        <w:t xml:space="preserve"> </w:t>
      </w:r>
      <w:r w:rsidRPr="00EC42C7">
        <w:rPr>
          <w:rFonts w:ascii="Arial Narrow" w:hAnsi="Arial Narrow"/>
          <w:sz w:val="23"/>
          <w:szCs w:val="23"/>
        </w:rPr>
        <w:t>Tüm bu açıklamalar ışığında; karara gerekçe yapılan tespitlerin, suç tarihinden sonra meydana gelen olaylar, devam eden idari soruşturmalar, kesinleşmeyen mahkeme kararları, kaynağı gösterilmeyen iddialar ve varsayımsal kabuller ile yapıldığı görülmektedir.</w:t>
      </w:r>
    </w:p>
    <w:p w14:paraId="0725557A" w14:textId="77777777" w:rsidR="008C311B" w:rsidRDefault="008C311B" w:rsidP="00173FA0">
      <w:pPr>
        <w:spacing w:after="120"/>
        <w:jc w:val="both"/>
        <w:rPr>
          <w:rFonts w:ascii="Arial Narrow" w:hAnsi="Arial Narrow"/>
          <w:sz w:val="23"/>
          <w:szCs w:val="23"/>
        </w:rPr>
      </w:pPr>
      <w:r>
        <w:rPr>
          <w:rFonts w:ascii="Arial Narrow" w:hAnsi="Arial Narrow"/>
          <w:sz w:val="23"/>
          <w:szCs w:val="23"/>
        </w:rPr>
        <w:t xml:space="preserve">AİHM’in </w:t>
      </w:r>
      <w:r w:rsidRPr="00EC42C7">
        <w:rPr>
          <w:rFonts w:ascii="Arial Narrow" w:hAnsi="Arial Narrow"/>
          <w:sz w:val="23"/>
          <w:szCs w:val="23"/>
        </w:rPr>
        <w:t>Parmak ve Bakır</w:t>
      </w:r>
      <w:r>
        <w:rPr>
          <w:rFonts w:ascii="Arial Narrow" w:hAnsi="Arial Narrow"/>
          <w:sz w:val="23"/>
          <w:szCs w:val="23"/>
        </w:rPr>
        <w:t>/Tütkiye</w:t>
      </w:r>
      <w:r w:rsidRPr="00EC42C7">
        <w:rPr>
          <w:rFonts w:ascii="Arial Narrow" w:hAnsi="Arial Narrow"/>
          <w:sz w:val="23"/>
          <w:szCs w:val="23"/>
        </w:rPr>
        <w:t xml:space="preserve"> kararında</w:t>
      </w:r>
      <w:r>
        <w:rPr>
          <w:rStyle w:val="DipnotBavurusu"/>
          <w:sz w:val="23"/>
          <w:szCs w:val="23"/>
        </w:rPr>
        <w:footnoteReference w:id="25"/>
      </w:r>
      <w:r>
        <w:rPr>
          <w:rFonts w:ascii="Arial Narrow" w:hAnsi="Arial Narrow"/>
          <w:sz w:val="23"/>
          <w:szCs w:val="23"/>
        </w:rPr>
        <w:t xml:space="preserve"> </w:t>
      </w:r>
      <w:r w:rsidRPr="00EC42C7">
        <w:rPr>
          <w:rFonts w:ascii="Arial Narrow" w:hAnsi="Arial Narrow"/>
          <w:sz w:val="23"/>
          <w:szCs w:val="23"/>
        </w:rPr>
        <w:t>vurguladığı üzere, yerel mahkemelerin yasada olmayan kavramları genişleterek yorumlaması öngörülemezl</w:t>
      </w:r>
      <w:r>
        <w:rPr>
          <w:rFonts w:ascii="Arial Narrow" w:hAnsi="Arial Narrow"/>
          <w:sz w:val="23"/>
          <w:szCs w:val="23"/>
        </w:rPr>
        <w:t xml:space="preserve">iğe neden olmakta </w:t>
      </w:r>
      <w:r w:rsidRPr="00EC42C7">
        <w:rPr>
          <w:rFonts w:ascii="Arial Narrow" w:hAnsi="Arial Narrow"/>
          <w:sz w:val="23"/>
          <w:szCs w:val="23"/>
        </w:rPr>
        <w:t>ve bireylerin eylemlerini yasal çerçevede öngörmesini engellemektedir. Başer kararında CGK, yasada (TMK md. 1 ve 7, TCK md. 314) açıkça yer almayan "potansiyel cebir" kavramını (matuf eylem ihtimali) genişleterek kullanmakta olup, bu yorum fiili şiddet gerekliliğini "ihtimal" düzeyine indirgemektedir. Yalçınkaya §161'de AİHM'in kabul ettiği üzere, Yargıtay, cebir ve şiddet koşulunun "etkin güç ve şiddet kullanımı" anlamına gelmediğini, "güç ve şiddet kullanma riskinin varlığının yeterli olabileceğini" ve örgütün "yeterli silaha sahip olması veya erişim imkânına sahip olması" gerektiğini</w:t>
      </w:r>
      <w:r>
        <w:rPr>
          <w:rFonts w:ascii="Arial Narrow" w:hAnsi="Arial Narrow"/>
          <w:sz w:val="23"/>
          <w:szCs w:val="23"/>
        </w:rPr>
        <w:t xml:space="preserve"> </w:t>
      </w:r>
      <w:r w:rsidRPr="00EC42C7">
        <w:rPr>
          <w:rFonts w:ascii="Arial Narrow" w:hAnsi="Arial Narrow"/>
          <w:sz w:val="23"/>
          <w:szCs w:val="23"/>
        </w:rPr>
        <w:t>eklemiştir</w:t>
      </w:r>
      <w:r>
        <w:rPr>
          <w:rFonts w:ascii="Arial Narrow" w:hAnsi="Arial Narrow"/>
          <w:sz w:val="23"/>
          <w:szCs w:val="23"/>
        </w:rPr>
        <w:t>.</w:t>
      </w:r>
      <w:r w:rsidRPr="00EC42C7">
        <w:rPr>
          <w:rFonts w:ascii="Arial Narrow" w:hAnsi="Arial Narrow"/>
          <w:sz w:val="23"/>
          <w:szCs w:val="23"/>
        </w:rPr>
        <w:t xml:space="preserve"> </w:t>
      </w:r>
      <w:r>
        <w:rPr>
          <w:rFonts w:ascii="Arial Narrow" w:hAnsi="Arial Narrow"/>
          <w:sz w:val="23"/>
          <w:szCs w:val="23"/>
        </w:rPr>
        <w:t>A</w:t>
      </w:r>
      <w:r w:rsidRPr="00EC42C7">
        <w:rPr>
          <w:rFonts w:ascii="Arial Narrow" w:hAnsi="Arial Narrow"/>
          <w:sz w:val="23"/>
          <w:szCs w:val="23"/>
        </w:rPr>
        <w:t xml:space="preserve">yrıca, silahların yasal olup olmamasının önemsiz olduğunu belirtmiştir. Bu hususlar, yasada ve yerleşik Yargıtay içtihatlarında bulunmamakta olup, CGK bunları sırf </w:t>
      </w:r>
      <w:r>
        <w:rPr>
          <w:rFonts w:ascii="Arial Narrow" w:hAnsi="Arial Narrow"/>
          <w:sz w:val="23"/>
          <w:szCs w:val="23"/>
        </w:rPr>
        <w:t>Cemaati</w:t>
      </w:r>
      <w:r w:rsidRPr="00EC42C7">
        <w:rPr>
          <w:rFonts w:ascii="Arial Narrow" w:hAnsi="Arial Narrow"/>
          <w:sz w:val="23"/>
          <w:szCs w:val="23"/>
        </w:rPr>
        <w:t xml:space="preserve"> silahlı örgüt nitelendirebilmek amacıyla entegre etmiştir. Örneğin, Emniyet/TSK'daki varlığı "doğasında var olan yetki" olarak yorumlamak, ideolojik faaliyetleri (toplantılar, yayınlar) öngörülemez şekilde suç haline getirm</w:t>
      </w:r>
      <w:r>
        <w:rPr>
          <w:rFonts w:ascii="Arial Narrow" w:hAnsi="Arial Narrow"/>
          <w:sz w:val="23"/>
          <w:szCs w:val="23"/>
        </w:rPr>
        <w:t>işti.</w:t>
      </w:r>
      <w:r w:rsidRPr="00EC42C7">
        <w:rPr>
          <w:rFonts w:ascii="Arial Narrow" w:hAnsi="Arial Narrow"/>
          <w:sz w:val="23"/>
          <w:szCs w:val="23"/>
        </w:rPr>
        <w:t xml:space="preserve"> Bu genişletme, içtihadın doğal gelişimi değil, siyasi motivasyonlu bir yeniliktir; bireyler, suç tarihi (2015) itibarıyla eylemlerinin yasal sonuçlarını öngöremez hale gelm</w:t>
      </w:r>
      <w:r>
        <w:rPr>
          <w:rFonts w:ascii="Arial Narrow" w:hAnsi="Arial Narrow"/>
          <w:sz w:val="23"/>
          <w:szCs w:val="23"/>
        </w:rPr>
        <w:t>iş</w:t>
      </w:r>
      <w:r w:rsidRPr="00EC42C7">
        <w:rPr>
          <w:rFonts w:ascii="Arial Narrow" w:hAnsi="Arial Narrow"/>
          <w:sz w:val="23"/>
          <w:szCs w:val="23"/>
        </w:rPr>
        <w:t>, ceza hukukunun açıklık prensibi zedelenm</w:t>
      </w:r>
      <w:r>
        <w:rPr>
          <w:rFonts w:ascii="Arial Narrow" w:hAnsi="Arial Narrow"/>
          <w:sz w:val="23"/>
          <w:szCs w:val="23"/>
        </w:rPr>
        <w:t xml:space="preserve">iş </w:t>
      </w:r>
      <w:r w:rsidRPr="00EC42C7">
        <w:rPr>
          <w:rFonts w:ascii="Arial Narrow" w:hAnsi="Arial Narrow"/>
          <w:sz w:val="23"/>
          <w:szCs w:val="23"/>
        </w:rPr>
        <w:t>ve keyfi mahkûmiyetlere kapı açılm</w:t>
      </w:r>
      <w:r>
        <w:rPr>
          <w:rFonts w:ascii="Arial Narrow" w:hAnsi="Arial Narrow"/>
          <w:sz w:val="23"/>
          <w:szCs w:val="23"/>
        </w:rPr>
        <w:t>ıştır</w:t>
      </w:r>
      <w:r w:rsidRPr="00EC42C7">
        <w:rPr>
          <w:rFonts w:ascii="Arial Narrow" w:hAnsi="Arial Narrow"/>
          <w:sz w:val="23"/>
          <w:szCs w:val="23"/>
        </w:rPr>
        <w:t xml:space="preserve"> (Parmak ve Bakır §§ 65-67, 76). Sonuçta, bu yaklaşım, AİHM'in kanunilik ilkesini koruma amacını bozarak, bireysel özgürlükleri tehlikeye atm</w:t>
      </w:r>
      <w:r>
        <w:rPr>
          <w:rFonts w:ascii="Arial Narrow" w:hAnsi="Arial Narrow"/>
          <w:sz w:val="23"/>
          <w:szCs w:val="23"/>
        </w:rPr>
        <w:t>ıştır</w:t>
      </w:r>
      <w:r w:rsidRPr="00EC42C7">
        <w:rPr>
          <w:rFonts w:ascii="Arial Narrow" w:hAnsi="Arial Narrow"/>
          <w:sz w:val="23"/>
          <w:szCs w:val="23"/>
        </w:rPr>
        <w:t>.</w:t>
      </w:r>
    </w:p>
    <w:p w14:paraId="3E4CDCCC" w14:textId="77777777" w:rsidR="008C311B" w:rsidRDefault="008C311B" w:rsidP="00173FA0">
      <w:pPr>
        <w:spacing w:after="120"/>
        <w:jc w:val="both"/>
        <w:rPr>
          <w:rFonts w:ascii="Arial Narrow" w:hAnsi="Arial Narrow"/>
          <w:sz w:val="23"/>
          <w:szCs w:val="23"/>
        </w:rPr>
      </w:pPr>
      <w:r w:rsidRPr="006C63D0">
        <w:rPr>
          <w:rFonts w:ascii="Arial Narrow" w:hAnsi="Arial Narrow"/>
          <w:sz w:val="23"/>
          <w:szCs w:val="23"/>
        </w:rPr>
        <w:t>Parmak ve Bakır kararında vurgulanan lehe uygulama ilkesi</w:t>
      </w:r>
      <w:r>
        <w:rPr>
          <w:rFonts w:ascii="Arial Narrow" w:hAnsi="Arial Narrow"/>
          <w:sz w:val="23"/>
          <w:szCs w:val="23"/>
        </w:rPr>
        <w:t xml:space="preserve"> gereğince</w:t>
      </w:r>
      <w:r w:rsidRPr="006C63D0">
        <w:rPr>
          <w:rFonts w:ascii="Arial Narrow" w:hAnsi="Arial Narrow"/>
          <w:sz w:val="23"/>
          <w:szCs w:val="23"/>
        </w:rPr>
        <w:t xml:space="preserve">, 2003 TMK değişikliği terör tanımını daraltmış olup (fiili cebir ve şiddet zorunluluğu getirerek), bu </w:t>
      </w:r>
      <w:r>
        <w:rPr>
          <w:rFonts w:ascii="Arial Narrow" w:hAnsi="Arial Narrow"/>
          <w:sz w:val="23"/>
          <w:szCs w:val="23"/>
        </w:rPr>
        <w:t xml:space="preserve">lehe </w:t>
      </w:r>
      <w:r w:rsidRPr="006C63D0">
        <w:rPr>
          <w:rFonts w:ascii="Arial Narrow" w:hAnsi="Arial Narrow"/>
          <w:sz w:val="23"/>
          <w:szCs w:val="23"/>
        </w:rPr>
        <w:t>hükümler geriye dönük uygulanmalıdır; aksi takdirde masumiyet karinesi ihlal edilir. Başer kararında, CGK suç tarihi 2015 olmasına rağmen 15 Temmuz 2016 olaylarını (silahlı kalkışma) geriye dönük esas alm</w:t>
      </w:r>
      <w:r>
        <w:rPr>
          <w:rFonts w:ascii="Arial Narrow" w:hAnsi="Arial Narrow"/>
          <w:sz w:val="23"/>
          <w:szCs w:val="23"/>
        </w:rPr>
        <w:t>ış</w:t>
      </w:r>
      <w:r w:rsidRPr="006C63D0">
        <w:rPr>
          <w:rFonts w:ascii="Arial Narrow" w:hAnsi="Arial Narrow"/>
          <w:sz w:val="23"/>
          <w:szCs w:val="23"/>
        </w:rPr>
        <w:t>, derdest davaları kesinleşmiş gibi yorumlam</w:t>
      </w:r>
      <w:r>
        <w:rPr>
          <w:rFonts w:ascii="Arial Narrow" w:hAnsi="Arial Narrow"/>
          <w:sz w:val="23"/>
          <w:szCs w:val="23"/>
        </w:rPr>
        <w:t xml:space="preserve">ış </w:t>
      </w:r>
      <w:r w:rsidRPr="006C63D0">
        <w:rPr>
          <w:rFonts w:ascii="Arial Narrow" w:hAnsi="Arial Narrow"/>
          <w:sz w:val="23"/>
          <w:szCs w:val="23"/>
        </w:rPr>
        <w:t>ve matuf eylem (vahim suç) gerekliliğini göz ardı etm</w:t>
      </w:r>
      <w:r>
        <w:rPr>
          <w:rFonts w:ascii="Arial Narrow" w:hAnsi="Arial Narrow"/>
          <w:sz w:val="23"/>
          <w:szCs w:val="23"/>
        </w:rPr>
        <w:t>iştir</w:t>
      </w:r>
      <w:r w:rsidRPr="006C63D0">
        <w:rPr>
          <w:rFonts w:ascii="Arial Narrow" w:hAnsi="Arial Narrow"/>
          <w:sz w:val="23"/>
          <w:szCs w:val="23"/>
        </w:rPr>
        <w:t xml:space="preserve">. Bu, 2003 değişikliğinin daraltıcı etkisini (örneğin, cezai nitelikte fiili eylem zorunluluğunu) lehe uygulamamakta olup, </w:t>
      </w:r>
      <w:r>
        <w:rPr>
          <w:rFonts w:ascii="Arial Narrow" w:hAnsi="Arial Narrow"/>
          <w:sz w:val="23"/>
          <w:szCs w:val="23"/>
        </w:rPr>
        <w:t>kişilerin</w:t>
      </w:r>
      <w:r w:rsidRPr="006C63D0">
        <w:rPr>
          <w:rFonts w:ascii="Arial Narrow" w:hAnsi="Arial Narrow"/>
          <w:sz w:val="23"/>
          <w:szCs w:val="23"/>
        </w:rPr>
        <w:t xml:space="preserve"> suç tarihinden sonraki olaylar (darbe girişimi) nedeniyle mahkûm e</w:t>
      </w:r>
      <w:r>
        <w:rPr>
          <w:rFonts w:ascii="Arial Narrow" w:hAnsi="Arial Narrow"/>
          <w:sz w:val="23"/>
          <w:szCs w:val="23"/>
        </w:rPr>
        <w:t>dilmelerine neden olmuştur.</w:t>
      </w:r>
      <w:r w:rsidRPr="006C63D0">
        <w:rPr>
          <w:rFonts w:ascii="Arial Narrow" w:hAnsi="Arial Narrow"/>
          <w:sz w:val="23"/>
          <w:szCs w:val="23"/>
        </w:rPr>
        <w:t xml:space="preserve"> Bu yaklaşım, ceza kanununun geriye yürümezlik prensibini bozm</w:t>
      </w:r>
      <w:r>
        <w:rPr>
          <w:rFonts w:ascii="Arial Narrow" w:hAnsi="Arial Narrow"/>
          <w:sz w:val="23"/>
          <w:szCs w:val="23"/>
        </w:rPr>
        <w:t xml:space="preserve">uş </w:t>
      </w:r>
      <w:r w:rsidRPr="006C63D0">
        <w:rPr>
          <w:rFonts w:ascii="Arial Narrow" w:hAnsi="Arial Narrow"/>
          <w:sz w:val="23"/>
          <w:szCs w:val="23"/>
        </w:rPr>
        <w:t xml:space="preserve">ve bireyleri zaman içinde değişen yasalardan dezavantajlı </w:t>
      </w:r>
      <w:r>
        <w:rPr>
          <w:rFonts w:ascii="Arial Narrow" w:hAnsi="Arial Narrow"/>
          <w:sz w:val="23"/>
          <w:szCs w:val="23"/>
        </w:rPr>
        <w:t>hale getirmiştir. Ö</w:t>
      </w:r>
      <w:r w:rsidRPr="006C63D0">
        <w:rPr>
          <w:rFonts w:ascii="Arial Narrow" w:hAnsi="Arial Narrow"/>
          <w:sz w:val="23"/>
          <w:szCs w:val="23"/>
        </w:rPr>
        <w:t xml:space="preserve">rneğin, 2015'te suç sayılmayan </w:t>
      </w:r>
      <w:r>
        <w:rPr>
          <w:rFonts w:ascii="Arial Narrow" w:hAnsi="Arial Narrow"/>
          <w:sz w:val="23"/>
          <w:szCs w:val="23"/>
        </w:rPr>
        <w:t>eylemler</w:t>
      </w:r>
      <w:r w:rsidRPr="006C63D0">
        <w:rPr>
          <w:rFonts w:ascii="Arial Narrow" w:hAnsi="Arial Narrow"/>
          <w:sz w:val="23"/>
          <w:szCs w:val="23"/>
        </w:rPr>
        <w:t>, 2016 olaylarıyla geriye dönük suç haline getirilm</w:t>
      </w:r>
      <w:r>
        <w:rPr>
          <w:rFonts w:ascii="Arial Narrow" w:hAnsi="Arial Narrow"/>
          <w:sz w:val="23"/>
          <w:szCs w:val="23"/>
        </w:rPr>
        <w:t xml:space="preserve">iştir </w:t>
      </w:r>
      <w:r w:rsidRPr="006C63D0">
        <w:rPr>
          <w:rFonts w:ascii="Arial Narrow" w:hAnsi="Arial Narrow"/>
          <w:sz w:val="23"/>
          <w:szCs w:val="23"/>
        </w:rPr>
        <w:t xml:space="preserve">Bu </w:t>
      </w:r>
      <w:r>
        <w:rPr>
          <w:rFonts w:ascii="Arial Narrow" w:hAnsi="Arial Narrow"/>
          <w:sz w:val="23"/>
          <w:szCs w:val="23"/>
        </w:rPr>
        <w:t>uygulama</w:t>
      </w:r>
      <w:r w:rsidRPr="006C63D0">
        <w:rPr>
          <w:rFonts w:ascii="Arial Narrow" w:hAnsi="Arial Narrow"/>
          <w:sz w:val="23"/>
          <w:szCs w:val="23"/>
        </w:rPr>
        <w:t>, masumiyet karinesini zedeleyerek, yargılamaların adil olmasını engelle</w:t>
      </w:r>
      <w:r>
        <w:rPr>
          <w:rFonts w:ascii="Arial Narrow" w:hAnsi="Arial Narrow"/>
          <w:sz w:val="23"/>
          <w:szCs w:val="23"/>
        </w:rPr>
        <w:t>miş</w:t>
      </w:r>
      <w:r w:rsidRPr="006C63D0">
        <w:rPr>
          <w:rFonts w:ascii="Arial Narrow" w:hAnsi="Arial Narrow"/>
          <w:sz w:val="23"/>
          <w:szCs w:val="23"/>
        </w:rPr>
        <w:t xml:space="preserve"> ve bireylerin geçmiş eylemlerini güvence altına alan Sözleşme güvencelerini zayıflat</w:t>
      </w:r>
      <w:r>
        <w:rPr>
          <w:rFonts w:ascii="Arial Narrow" w:hAnsi="Arial Narrow"/>
          <w:sz w:val="23"/>
          <w:szCs w:val="23"/>
        </w:rPr>
        <w:t>mıştır</w:t>
      </w:r>
      <w:r w:rsidRPr="006C63D0">
        <w:rPr>
          <w:rFonts w:ascii="Arial Narrow" w:hAnsi="Arial Narrow"/>
          <w:sz w:val="23"/>
          <w:szCs w:val="23"/>
        </w:rPr>
        <w:t>.</w:t>
      </w:r>
    </w:p>
    <w:p w14:paraId="25BF4FC8" w14:textId="77777777" w:rsidR="008C311B" w:rsidRDefault="008C311B" w:rsidP="00173FA0">
      <w:pPr>
        <w:spacing w:after="120"/>
        <w:jc w:val="both"/>
        <w:rPr>
          <w:rFonts w:ascii="Arial Narrow" w:hAnsi="Arial Narrow"/>
          <w:sz w:val="23"/>
          <w:szCs w:val="23"/>
        </w:rPr>
      </w:pPr>
      <w:r w:rsidRPr="00B35B90">
        <w:rPr>
          <w:rFonts w:ascii="Arial Narrow" w:hAnsi="Arial Narrow"/>
          <w:sz w:val="23"/>
          <w:szCs w:val="23"/>
        </w:rPr>
        <w:t>Parmak ve Bakır kararında AİHM, suç</w:t>
      </w:r>
      <w:r>
        <w:rPr>
          <w:rFonts w:ascii="Arial Narrow" w:hAnsi="Arial Narrow"/>
          <w:sz w:val="23"/>
          <w:szCs w:val="23"/>
        </w:rPr>
        <w:t>un</w:t>
      </w:r>
      <w:r w:rsidRPr="00B35B90">
        <w:rPr>
          <w:rFonts w:ascii="Arial Narrow" w:hAnsi="Arial Narrow"/>
          <w:sz w:val="23"/>
          <w:szCs w:val="23"/>
        </w:rPr>
        <w:t xml:space="preserve"> unsurlarının (kümülatif koşullar: fiili şiddet, </w:t>
      </w:r>
      <w:r>
        <w:rPr>
          <w:rFonts w:ascii="Arial Narrow" w:hAnsi="Arial Narrow"/>
          <w:sz w:val="23"/>
          <w:szCs w:val="23"/>
        </w:rPr>
        <w:t>vahim</w:t>
      </w:r>
      <w:r w:rsidRPr="00B35B90">
        <w:rPr>
          <w:rFonts w:ascii="Arial Narrow" w:hAnsi="Arial Narrow"/>
          <w:sz w:val="23"/>
          <w:szCs w:val="23"/>
        </w:rPr>
        <w:t xml:space="preserve"> eylem) yasayla bağdaşmasını</w:t>
      </w:r>
      <w:r>
        <w:rPr>
          <w:rFonts w:ascii="Arial Narrow" w:hAnsi="Arial Narrow"/>
          <w:sz w:val="23"/>
          <w:szCs w:val="23"/>
        </w:rPr>
        <w:t>n</w:t>
      </w:r>
      <w:r w:rsidRPr="00B35B90">
        <w:rPr>
          <w:rFonts w:ascii="Arial Narrow" w:hAnsi="Arial Narrow"/>
          <w:sz w:val="23"/>
          <w:szCs w:val="23"/>
        </w:rPr>
        <w:t xml:space="preserve"> gerekti</w:t>
      </w:r>
      <w:r>
        <w:rPr>
          <w:rFonts w:ascii="Arial Narrow" w:hAnsi="Arial Narrow"/>
          <w:sz w:val="23"/>
          <w:szCs w:val="23"/>
        </w:rPr>
        <w:t>ğini</w:t>
      </w:r>
      <w:r w:rsidRPr="00B35B90">
        <w:rPr>
          <w:rFonts w:ascii="Arial Narrow" w:hAnsi="Arial Narrow"/>
          <w:sz w:val="23"/>
          <w:szCs w:val="23"/>
        </w:rPr>
        <w:t xml:space="preserve"> ve geniş yorumun suçun temel niteliğini bozduğunu belirtmiştir. Başer kararında, CGK matuf eylem olmadan örgüt kabulü yapm</w:t>
      </w:r>
      <w:r>
        <w:rPr>
          <w:rFonts w:ascii="Arial Narrow" w:hAnsi="Arial Narrow"/>
          <w:sz w:val="23"/>
          <w:szCs w:val="23"/>
        </w:rPr>
        <w:t>ış</w:t>
      </w:r>
      <w:r w:rsidRPr="00B35B90">
        <w:rPr>
          <w:rFonts w:ascii="Arial Narrow" w:hAnsi="Arial Narrow"/>
          <w:sz w:val="23"/>
          <w:szCs w:val="23"/>
        </w:rPr>
        <w:t>, TCK md. 314'teki unsurları (cebir/şiddet, silahlı eylem) "hukuki görünümlü yöntemlerle" genişletm</w:t>
      </w:r>
      <w:r>
        <w:rPr>
          <w:rFonts w:ascii="Arial Narrow" w:hAnsi="Arial Narrow"/>
          <w:sz w:val="23"/>
          <w:szCs w:val="23"/>
        </w:rPr>
        <w:t>iş v</w:t>
      </w:r>
      <w:r w:rsidRPr="00B35B90">
        <w:rPr>
          <w:rFonts w:ascii="Arial Narrow" w:hAnsi="Arial Narrow"/>
          <w:sz w:val="23"/>
          <w:szCs w:val="23"/>
        </w:rPr>
        <w:t xml:space="preserve">e </w:t>
      </w:r>
      <w:r>
        <w:rPr>
          <w:rFonts w:ascii="Arial Narrow" w:hAnsi="Arial Narrow"/>
          <w:sz w:val="23"/>
          <w:szCs w:val="23"/>
        </w:rPr>
        <w:t>yasal-rutin</w:t>
      </w:r>
      <w:r w:rsidRPr="00B35B90">
        <w:rPr>
          <w:rFonts w:ascii="Arial Narrow" w:hAnsi="Arial Narrow"/>
          <w:sz w:val="23"/>
          <w:szCs w:val="23"/>
        </w:rPr>
        <w:t xml:space="preserve"> faaliyetleri (örneğin, yayınlar veya toplantılar) terör suçu haline getirm</w:t>
      </w:r>
      <w:r>
        <w:rPr>
          <w:rFonts w:ascii="Arial Narrow" w:hAnsi="Arial Narrow"/>
          <w:sz w:val="23"/>
          <w:szCs w:val="23"/>
        </w:rPr>
        <w:t>iştir</w:t>
      </w:r>
      <w:r w:rsidRPr="00B35B90">
        <w:rPr>
          <w:rFonts w:ascii="Arial Narrow" w:hAnsi="Arial Narrow"/>
          <w:sz w:val="23"/>
          <w:szCs w:val="23"/>
        </w:rPr>
        <w:t>. Yalçınkaya</w:t>
      </w:r>
      <w:r>
        <w:rPr>
          <w:rFonts w:ascii="Arial Narrow" w:hAnsi="Arial Narrow"/>
          <w:sz w:val="23"/>
          <w:szCs w:val="23"/>
        </w:rPr>
        <w:t xml:space="preserve"> kararın</w:t>
      </w:r>
      <w:r w:rsidRPr="00B35B90">
        <w:rPr>
          <w:rFonts w:ascii="Arial Narrow" w:hAnsi="Arial Narrow"/>
          <w:sz w:val="23"/>
          <w:szCs w:val="23"/>
        </w:rPr>
        <w:t xml:space="preserve"> 161</w:t>
      </w:r>
      <w:r>
        <w:rPr>
          <w:rFonts w:ascii="Arial Narrow" w:hAnsi="Arial Narrow"/>
          <w:sz w:val="23"/>
          <w:szCs w:val="23"/>
        </w:rPr>
        <w:t>. paragrafında da kabul edilen ve önceki uygulama ve içtihatlarda olmayan</w:t>
      </w:r>
      <w:r w:rsidRPr="00B35B90">
        <w:rPr>
          <w:rFonts w:ascii="Arial Narrow" w:hAnsi="Arial Narrow"/>
          <w:sz w:val="23"/>
          <w:szCs w:val="23"/>
        </w:rPr>
        <w:t xml:space="preserve"> eklemeler (</w:t>
      </w:r>
      <w:r>
        <w:rPr>
          <w:rFonts w:ascii="Arial Narrow" w:hAnsi="Arial Narrow"/>
          <w:sz w:val="23"/>
          <w:szCs w:val="23"/>
        </w:rPr>
        <w:t xml:space="preserve">cebir şiddet </w:t>
      </w:r>
      <w:r w:rsidRPr="00B35B90">
        <w:rPr>
          <w:rFonts w:ascii="Arial Narrow" w:hAnsi="Arial Narrow"/>
          <w:sz w:val="23"/>
          <w:szCs w:val="23"/>
        </w:rPr>
        <w:t>risk</w:t>
      </w:r>
      <w:r>
        <w:rPr>
          <w:rFonts w:ascii="Arial Narrow" w:hAnsi="Arial Narrow"/>
          <w:sz w:val="23"/>
          <w:szCs w:val="23"/>
        </w:rPr>
        <w:t>i</w:t>
      </w:r>
      <w:r w:rsidRPr="00B35B90">
        <w:rPr>
          <w:rFonts w:ascii="Arial Narrow" w:hAnsi="Arial Narrow"/>
          <w:sz w:val="23"/>
          <w:szCs w:val="23"/>
        </w:rPr>
        <w:t xml:space="preserve">ı, silah erişim imkânı), yasada olmayan unsurlar olup, CGK bunları </w:t>
      </w:r>
      <w:r>
        <w:rPr>
          <w:rFonts w:ascii="Arial Narrow" w:hAnsi="Arial Narrow"/>
          <w:sz w:val="23"/>
          <w:szCs w:val="23"/>
        </w:rPr>
        <w:t>Cemaati</w:t>
      </w:r>
      <w:r w:rsidRPr="00B35B90">
        <w:rPr>
          <w:rFonts w:ascii="Arial Narrow" w:hAnsi="Arial Narrow"/>
          <w:sz w:val="23"/>
          <w:szCs w:val="23"/>
        </w:rPr>
        <w:t xml:space="preserve"> </w:t>
      </w:r>
      <w:r w:rsidRPr="00B35B90">
        <w:rPr>
          <w:rFonts w:ascii="Arial Narrow" w:hAnsi="Arial Narrow"/>
          <w:sz w:val="23"/>
          <w:szCs w:val="23"/>
        </w:rPr>
        <w:lastRenderedPageBreak/>
        <w:t>silahlı örgüt yapabilmek için kullanmış</w:t>
      </w:r>
      <w:r>
        <w:rPr>
          <w:rFonts w:ascii="Arial Narrow" w:hAnsi="Arial Narrow"/>
          <w:sz w:val="23"/>
          <w:szCs w:val="23"/>
        </w:rPr>
        <w:t xml:space="preserve"> ve</w:t>
      </w:r>
      <w:r w:rsidRPr="00B35B90">
        <w:rPr>
          <w:rFonts w:ascii="Arial Narrow" w:hAnsi="Arial Narrow"/>
          <w:sz w:val="23"/>
          <w:szCs w:val="23"/>
        </w:rPr>
        <w:t xml:space="preserve"> matuf eylem yargılamasında mahkumiyet yokken (TCK md. 312'den beraat</w:t>
      </w:r>
      <w:r>
        <w:rPr>
          <w:rFonts w:ascii="Arial Narrow" w:hAnsi="Arial Narrow"/>
          <w:sz w:val="23"/>
          <w:szCs w:val="23"/>
        </w:rPr>
        <w:t xml:space="preserve"> verilmişken</w:t>
      </w:r>
      <w:r w:rsidRPr="00B35B90">
        <w:rPr>
          <w:rFonts w:ascii="Arial Narrow" w:hAnsi="Arial Narrow"/>
          <w:sz w:val="23"/>
          <w:szCs w:val="23"/>
        </w:rPr>
        <w:t>) örgüt kabulü yapılm</w:t>
      </w:r>
      <w:r>
        <w:rPr>
          <w:rFonts w:ascii="Arial Narrow" w:hAnsi="Arial Narrow"/>
          <w:sz w:val="23"/>
          <w:szCs w:val="23"/>
        </w:rPr>
        <w:t>ıştır</w:t>
      </w:r>
      <w:r w:rsidRPr="00B35B90">
        <w:rPr>
          <w:rFonts w:ascii="Arial Narrow" w:hAnsi="Arial Narrow"/>
          <w:sz w:val="23"/>
          <w:szCs w:val="23"/>
        </w:rPr>
        <w:t>. Bu, suçun temel niteliğini (fiili matuf suç ve kümülatif koşullar) bozmakta, yerleşik içtihatlardaki matuf eylem gerekliliğini göz ardı etmekte ve yasanın daraltıcı amacını (2003 TMK değişikliğiyle getirilen fiili şiddet zorunluluğunu) zedelemektedir; Parmak ve Bakır §§68-75'teki gibi, ideolojik ifadeleri cezalandırarak ifade özgürlüğüyle çelişmekte ve siyasi fikirlere dayalı mahkûmiyetlere yol açmaktadır (Başkaya ve Okçuoğlu v. Türkiye §51). Sonuçta, bu ihlal, ceza hukukunun dar yorum prensibini ihlal ederek, bireyleri keyfi kovuşturmalara maruz bırak</w:t>
      </w:r>
      <w:r>
        <w:rPr>
          <w:rFonts w:ascii="Arial Narrow" w:hAnsi="Arial Narrow"/>
          <w:sz w:val="23"/>
          <w:szCs w:val="23"/>
        </w:rPr>
        <w:t>mıştır</w:t>
      </w:r>
      <w:r w:rsidRPr="00B35B90">
        <w:rPr>
          <w:rFonts w:ascii="Arial Narrow" w:hAnsi="Arial Narrow"/>
          <w:sz w:val="23"/>
          <w:szCs w:val="23"/>
        </w:rPr>
        <w:t>.</w:t>
      </w:r>
    </w:p>
    <w:p w14:paraId="3764850C" w14:textId="77777777" w:rsidR="008C311B" w:rsidRDefault="008C311B" w:rsidP="00173FA0">
      <w:pPr>
        <w:spacing w:after="120"/>
        <w:jc w:val="both"/>
        <w:rPr>
          <w:rFonts w:ascii="Arial Narrow" w:eastAsia="Times New Roman" w:hAnsi="Arial Narrow" w:cs="Times New Roman"/>
          <w:bCs/>
          <w:sz w:val="23"/>
          <w:szCs w:val="23"/>
          <w:lang w:eastAsia="tr-TR"/>
        </w:rPr>
      </w:pPr>
      <w:r w:rsidRPr="00B35B90">
        <w:rPr>
          <w:rFonts w:ascii="Arial Narrow" w:hAnsi="Arial Narrow"/>
          <w:sz w:val="23"/>
          <w:szCs w:val="23"/>
        </w:rPr>
        <w:t xml:space="preserve">Parmak ve Bakır kararında AİHM, terörle mücadelenin zorluklarını kabul etmekle birlikte Madde 7 güvencelerinin (açıklık, öngörülebilirlik) önceliğini vurgulamış ve yeni yorumların makul sınırlar içinde kalmasını </w:t>
      </w:r>
      <w:r>
        <w:rPr>
          <w:rFonts w:ascii="Arial Narrow" w:hAnsi="Arial Narrow"/>
          <w:sz w:val="23"/>
          <w:szCs w:val="23"/>
        </w:rPr>
        <w:t>istemiştir</w:t>
      </w:r>
      <w:r w:rsidRPr="00B35B90">
        <w:rPr>
          <w:rFonts w:ascii="Arial Narrow" w:hAnsi="Arial Narrow"/>
          <w:sz w:val="23"/>
          <w:szCs w:val="23"/>
        </w:rPr>
        <w:t xml:space="preserve"> (§ 77). Başer kararında, CGK emsal içtihat yokluğunda yeni yorum </w:t>
      </w:r>
      <w:r>
        <w:rPr>
          <w:rFonts w:ascii="Arial Narrow" w:hAnsi="Arial Narrow"/>
          <w:sz w:val="23"/>
          <w:szCs w:val="23"/>
        </w:rPr>
        <w:t>oluşturmuş</w:t>
      </w:r>
      <w:r w:rsidRPr="00B35B90">
        <w:rPr>
          <w:rFonts w:ascii="Arial Narrow" w:hAnsi="Arial Narrow"/>
          <w:sz w:val="23"/>
          <w:szCs w:val="23"/>
        </w:rPr>
        <w:t xml:space="preserve"> olup, varsayımlara (örneğin, "doğasında var olan yetki") dayanarak açıklık ve öngörülebilirliği ihlal etm</w:t>
      </w:r>
      <w:r>
        <w:rPr>
          <w:rFonts w:ascii="Arial Narrow" w:hAnsi="Arial Narrow"/>
          <w:sz w:val="23"/>
          <w:szCs w:val="23"/>
        </w:rPr>
        <w:t>iştir</w:t>
      </w:r>
      <w:r w:rsidRPr="00B35B90">
        <w:rPr>
          <w:rFonts w:ascii="Arial Narrow" w:hAnsi="Arial Narrow"/>
          <w:sz w:val="23"/>
          <w:szCs w:val="23"/>
        </w:rPr>
        <w:t>. Bu, terörle mücadele bahanesiyle yasanın haksız genişletilmesine yol açm</w:t>
      </w:r>
      <w:r>
        <w:rPr>
          <w:rFonts w:ascii="Arial Narrow" w:hAnsi="Arial Narrow"/>
          <w:sz w:val="23"/>
          <w:szCs w:val="23"/>
        </w:rPr>
        <w:t>ış ve</w:t>
      </w:r>
      <w:r w:rsidRPr="00B35B90">
        <w:rPr>
          <w:rFonts w:ascii="Arial Narrow" w:hAnsi="Arial Narrow"/>
          <w:sz w:val="23"/>
          <w:szCs w:val="23"/>
        </w:rPr>
        <w:t xml:space="preserve"> ve </w:t>
      </w:r>
      <w:r>
        <w:rPr>
          <w:rFonts w:ascii="Arial Narrow" w:hAnsi="Arial Narrow"/>
          <w:sz w:val="23"/>
          <w:szCs w:val="23"/>
        </w:rPr>
        <w:t xml:space="preserve">kişileri </w:t>
      </w:r>
      <w:r w:rsidRPr="00B35B90">
        <w:rPr>
          <w:rFonts w:ascii="Arial Narrow" w:hAnsi="Arial Narrow"/>
          <w:sz w:val="23"/>
          <w:szCs w:val="23"/>
        </w:rPr>
        <w:t xml:space="preserve">işlendiği sırada suç sayılmayan </w:t>
      </w:r>
      <w:r>
        <w:rPr>
          <w:rFonts w:ascii="Arial Narrow" w:hAnsi="Arial Narrow"/>
          <w:sz w:val="23"/>
          <w:szCs w:val="23"/>
        </w:rPr>
        <w:t xml:space="preserve">yasal ve rutin </w:t>
      </w:r>
      <w:r w:rsidRPr="00B35B90">
        <w:rPr>
          <w:rFonts w:ascii="Arial Narrow" w:hAnsi="Arial Narrow"/>
          <w:sz w:val="23"/>
          <w:szCs w:val="23"/>
        </w:rPr>
        <w:t>fiiller</w:t>
      </w:r>
      <w:r>
        <w:rPr>
          <w:rFonts w:ascii="Arial Narrow" w:hAnsi="Arial Narrow"/>
          <w:sz w:val="23"/>
          <w:szCs w:val="23"/>
        </w:rPr>
        <w:t>in</w:t>
      </w:r>
      <w:r w:rsidRPr="00B35B90">
        <w:rPr>
          <w:rFonts w:ascii="Arial Narrow" w:hAnsi="Arial Narrow"/>
          <w:sz w:val="23"/>
          <w:szCs w:val="23"/>
        </w:rPr>
        <w:t>den mahkûm</w:t>
      </w:r>
      <w:r>
        <w:rPr>
          <w:rFonts w:ascii="Arial Narrow" w:hAnsi="Arial Narrow"/>
          <w:sz w:val="23"/>
          <w:szCs w:val="23"/>
        </w:rPr>
        <w:t xml:space="preserve"> edilmelerine neden olmuştur.</w:t>
      </w:r>
      <w:r w:rsidRPr="00B35B90">
        <w:rPr>
          <w:rFonts w:ascii="Arial Narrow" w:hAnsi="Arial Narrow"/>
          <w:sz w:val="23"/>
          <w:szCs w:val="23"/>
        </w:rPr>
        <w:t xml:space="preserve"> Bu yaklaşım, AİHM'in dengeli içtihadını bozmakta olup, Devletlerin güvenlik ihtiyaçlarını anlarken bireysel hakları ön planda tutma ilkesini ihlal e</w:t>
      </w:r>
      <w:r>
        <w:rPr>
          <w:rFonts w:ascii="Arial Narrow" w:hAnsi="Arial Narrow"/>
          <w:sz w:val="23"/>
          <w:szCs w:val="23"/>
        </w:rPr>
        <w:t>tmiştir.</w:t>
      </w:r>
      <w:r w:rsidRPr="00B35B90">
        <w:rPr>
          <w:rFonts w:ascii="Arial Narrow" w:hAnsi="Arial Narrow"/>
          <w:sz w:val="23"/>
          <w:szCs w:val="23"/>
        </w:rPr>
        <w:t xml:space="preserve"> Parmak ve Bakır kararındaki gibi, terör taktikleri evrilse bile Madde 7 güvenceleri etkilenmez ve yeni yorumlar bireyleri öngörülemez şekilde cezalandıramaz (S.W. v. Birleşik Krallık §36). Bu ihlal, yargı bağımsızlığını zedeleyerek, siyasi motivasyonlu kararlara zemin hazırla</w:t>
      </w:r>
      <w:r>
        <w:rPr>
          <w:rFonts w:ascii="Arial Narrow" w:hAnsi="Arial Narrow"/>
          <w:sz w:val="23"/>
          <w:szCs w:val="23"/>
        </w:rPr>
        <w:t>mış</w:t>
      </w:r>
      <w:r w:rsidRPr="00B35B90">
        <w:rPr>
          <w:rFonts w:ascii="Arial Narrow" w:hAnsi="Arial Narrow"/>
          <w:sz w:val="23"/>
          <w:szCs w:val="23"/>
        </w:rPr>
        <w:t xml:space="preserve"> ve Sözleşme'nin temel amacını (bireysel özgürlükleri koruma) zayıflat</w:t>
      </w:r>
      <w:r>
        <w:rPr>
          <w:rFonts w:ascii="Arial Narrow" w:hAnsi="Arial Narrow"/>
          <w:sz w:val="23"/>
          <w:szCs w:val="23"/>
        </w:rPr>
        <w:t>mıştır</w:t>
      </w:r>
      <w:r w:rsidRPr="00B35B90">
        <w:rPr>
          <w:rFonts w:ascii="Arial Narrow" w:hAnsi="Arial Narrow"/>
          <w:sz w:val="23"/>
          <w:szCs w:val="23"/>
        </w:rPr>
        <w:t>.</w:t>
      </w:r>
    </w:p>
    <w:p w14:paraId="2650EB96" w14:textId="77777777" w:rsidR="008C311B" w:rsidRPr="00E16BB4" w:rsidRDefault="008C311B" w:rsidP="00173FA0">
      <w:pPr>
        <w:spacing w:after="120"/>
        <w:jc w:val="both"/>
        <w:rPr>
          <w:rFonts w:ascii="Arial Narrow" w:hAnsi="Arial Narrow"/>
          <w:sz w:val="23"/>
          <w:szCs w:val="23"/>
        </w:rPr>
      </w:pPr>
      <w:r>
        <w:rPr>
          <w:rFonts w:ascii="Arial Narrow" w:eastAsia="Times New Roman" w:hAnsi="Arial Narrow" w:cs="Times New Roman"/>
          <w:bCs/>
          <w:sz w:val="23"/>
          <w:szCs w:val="23"/>
          <w:lang w:eastAsia="tr-TR"/>
        </w:rPr>
        <w:t xml:space="preserve">Aynı şekilde, başvurucu </w:t>
      </w:r>
      <w:r w:rsidRPr="00EC42C7">
        <w:rPr>
          <w:rFonts w:ascii="Arial Narrow" w:eastAsia="Times New Roman" w:hAnsi="Arial Narrow" w:cs="Times New Roman"/>
          <w:bCs/>
          <w:sz w:val="23"/>
          <w:szCs w:val="23"/>
          <w:lang w:eastAsia="tr-TR"/>
        </w:rPr>
        <w:t>Bylock programını kullandığı, bu program üzerinde yazıştığı iddiası, Bank Asya’ya para yatırdığı, sohbete katıldığı, sohbet ettiği, sendika/dernek üyesi olduğu, Kimse Yok Mu Derneğine bağış yaptığı/üye olduğu, SGK’lı olarak bir kurumda çalıştığı, yapılan arama sonucunda  … ait/tarafından yazılan kitapların bulunmuş olması, … otelinde konaklamış olma, Zaman Gazetesi abonesi olma, sosyal medya paylaşımları</w:t>
      </w:r>
      <w:r>
        <w:rPr>
          <w:rFonts w:ascii="Arial Narrow" w:eastAsia="Times New Roman" w:hAnsi="Arial Narrow" w:cs="Times New Roman"/>
          <w:bCs/>
          <w:sz w:val="23"/>
          <w:szCs w:val="23"/>
          <w:lang w:eastAsia="tr-TR"/>
        </w:rPr>
        <w:t>nda</w:t>
      </w:r>
      <w:r w:rsidRPr="00EC42C7">
        <w:rPr>
          <w:rFonts w:ascii="Arial Narrow" w:eastAsia="Times New Roman" w:hAnsi="Arial Narrow" w:cs="Times New Roman"/>
          <w:bCs/>
          <w:sz w:val="23"/>
          <w:szCs w:val="23"/>
          <w:lang w:eastAsia="tr-TR"/>
        </w:rPr>
        <w:t xml:space="preserve"> hükümet aleyhinde konuştuğu iddiası nedeniyle terör örgütü üyeliğinden cezalandırıl</w:t>
      </w:r>
      <w:r>
        <w:rPr>
          <w:rFonts w:ascii="Arial Narrow" w:eastAsia="Times New Roman" w:hAnsi="Arial Narrow" w:cs="Times New Roman"/>
          <w:bCs/>
          <w:sz w:val="23"/>
          <w:szCs w:val="23"/>
          <w:lang w:eastAsia="tr-TR"/>
        </w:rPr>
        <w:t>mıştır</w:t>
      </w:r>
      <w:r w:rsidRPr="00EC42C7">
        <w:rPr>
          <w:rFonts w:ascii="Arial Narrow" w:eastAsia="Times New Roman" w:hAnsi="Arial Narrow" w:cs="Times New Roman"/>
          <w:bCs/>
          <w:sz w:val="23"/>
          <w:szCs w:val="23"/>
          <w:lang w:eastAsia="tr-TR"/>
        </w:rPr>
        <w:t xml:space="preserve">. Bu eylemlerin şiddeti ve terörü teşvik edici nitelik taşıdığına ilişkin bir delil dosyaya sunulmamış, bu husus araştırılmamıştır. Bunlar yapıldıkları zamanda tamamen yasal olan ve bir temel hak ve özgürlüğün kullanımdan ibaret faaliyetlerdir. </w:t>
      </w:r>
    </w:p>
    <w:p w14:paraId="096AA540" w14:textId="77777777" w:rsidR="008C311B" w:rsidRPr="00EC42C7" w:rsidRDefault="008C311B" w:rsidP="00173FA0">
      <w:pPr>
        <w:shd w:val="clear" w:color="auto" w:fill="FFFFFF"/>
        <w:spacing w:after="120"/>
        <w:jc w:val="both"/>
        <w:rPr>
          <w:rFonts w:ascii="Arial Narrow" w:eastAsia="Times New Roman" w:hAnsi="Arial Narrow" w:cs="Times New Roman"/>
          <w:bCs/>
          <w:sz w:val="23"/>
          <w:szCs w:val="23"/>
          <w:lang w:eastAsia="tr-TR"/>
        </w:rPr>
      </w:pPr>
      <w:r w:rsidRPr="00EC42C7">
        <w:rPr>
          <w:rFonts w:ascii="Arial Narrow" w:eastAsia="Times New Roman" w:hAnsi="Arial Narrow" w:cs="Times New Roman"/>
          <w:bCs/>
          <w:sz w:val="23"/>
          <w:szCs w:val="23"/>
          <w:lang w:eastAsia="tr-TR"/>
        </w:rPr>
        <w:t>Silahlı terör örgütü üyeliğinden mahkum</w:t>
      </w:r>
      <w:r>
        <w:rPr>
          <w:rFonts w:ascii="Arial Narrow" w:eastAsia="Times New Roman" w:hAnsi="Arial Narrow" w:cs="Times New Roman"/>
          <w:bCs/>
          <w:sz w:val="23"/>
          <w:szCs w:val="23"/>
          <w:lang w:eastAsia="tr-TR"/>
        </w:rPr>
        <w:t>iyet için</w:t>
      </w:r>
      <w:r w:rsidRPr="00EC42C7">
        <w:rPr>
          <w:rFonts w:ascii="Arial Narrow" w:eastAsia="Times New Roman" w:hAnsi="Arial Narrow" w:cs="Times New Roman"/>
          <w:bCs/>
          <w:sz w:val="23"/>
          <w:szCs w:val="23"/>
          <w:lang w:eastAsia="tr-TR"/>
        </w:rPr>
        <w:t xml:space="preserve"> bu faaliyetlerin iddia edilen ancak </w:t>
      </w:r>
      <w:r>
        <w:rPr>
          <w:rFonts w:ascii="Arial Narrow" w:eastAsia="Times New Roman" w:hAnsi="Arial Narrow" w:cs="Times New Roman"/>
          <w:bCs/>
          <w:sz w:val="23"/>
          <w:szCs w:val="23"/>
          <w:lang w:eastAsia="tr-TR"/>
        </w:rPr>
        <w:t xml:space="preserve">başvurucunun </w:t>
      </w:r>
      <w:r w:rsidRPr="00EC42C7">
        <w:rPr>
          <w:rFonts w:ascii="Arial Narrow" w:eastAsia="Times New Roman" w:hAnsi="Arial Narrow" w:cs="Times New Roman"/>
          <w:bCs/>
          <w:sz w:val="23"/>
          <w:szCs w:val="23"/>
          <w:lang w:eastAsia="tr-TR"/>
        </w:rPr>
        <w:t xml:space="preserve">kabul etmediği örgüt hiyerarşisinden gelen talimat üzerine gerçekleştirildiği ve </w:t>
      </w:r>
      <w:r>
        <w:rPr>
          <w:rFonts w:ascii="Arial Narrow" w:eastAsia="Times New Roman" w:hAnsi="Arial Narrow" w:cs="Times New Roman"/>
          <w:bCs/>
          <w:sz w:val="23"/>
          <w:szCs w:val="23"/>
          <w:lang w:eastAsia="tr-TR"/>
        </w:rPr>
        <w:t>cemaatin</w:t>
      </w:r>
      <w:r w:rsidRPr="00EC42C7">
        <w:rPr>
          <w:rFonts w:ascii="Arial Narrow" w:eastAsia="Times New Roman" w:hAnsi="Arial Narrow" w:cs="Times New Roman"/>
          <w:bCs/>
          <w:sz w:val="23"/>
          <w:szCs w:val="23"/>
          <w:lang w:eastAsia="tr-TR"/>
        </w:rPr>
        <w:t xml:space="preserve"> nihai amacı</w:t>
      </w:r>
      <w:r>
        <w:rPr>
          <w:rFonts w:ascii="Arial Narrow" w:eastAsia="Times New Roman" w:hAnsi="Arial Narrow" w:cs="Times New Roman"/>
          <w:bCs/>
          <w:sz w:val="23"/>
          <w:szCs w:val="23"/>
          <w:lang w:eastAsia="tr-TR"/>
        </w:rPr>
        <w:t xml:space="preserve"> kabul edilen</w:t>
      </w:r>
      <w:r w:rsidRPr="00EC42C7">
        <w:rPr>
          <w:rFonts w:ascii="Arial Narrow" w:eastAsia="Times New Roman" w:hAnsi="Arial Narrow" w:cs="Times New Roman"/>
          <w:bCs/>
          <w:sz w:val="23"/>
          <w:szCs w:val="23"/>
          <w:lang w:eastAsia="tr-TR"/>
        </w:rPr>
        <w:t xml:space="preserve"> (anayasal düzeni değiştirme, hükümeti devirme, darbe teşebbüsü)</w:t>
      </w:r>
      <w:r>
        <w:rPr>
          <w:rFonts w:ascii="Arial Narrow" w:eastAsia="Times New Roman" w:hAnsi="Arial Narrow" w:cs="Times New Roman"/>
          <w:bCs/>
          <w:sz w:val="23"/>
          <w:szCs w:val="23"/>
          <w:lang w:eastAsia="tr-TR"/>
        </w:rPr>
        <w:t xml:space="preserve"> hususlara</w:t>
      </w:r>
      <w:r w:rsidRPr="00EC42C7">
        <w:rPr>
          <w:rFonts w:ascii="Arial Narrow" w:eastAsia="Times New Roman" w:hAnsi="Arial Narrow" w:cs="Times New Roman"/>
          <w:bCs/>
          <w:sz w:val="23"/>
          <w:szCs w:val="23"/>
          <w:lang w:eastAsia="tr-TR"/>
        </w:rPr>
        <w:t xml:space="preserve"> hizmet ettiğin</w:t>
      </w:r>
      <w:r>
        <w:rPr>
          <w:rFonts w:ascii="Arial Narrow" w:eastAsia="Times New Roman" w:hAnsi="Arial Narrow" w:cs="Times New Roman"/>
          <w:bCs/>
          <w:sz w:val="23"/>
          <w:szCs w:val="23"/>
          <w:lang w:eastAsia="tr-TR"/>
        </w:rPr>
        <w:t>in</w:t>
      </w:r>
      <w:r w:rsidRPr="00EC42C7">
        <w:rPr>
          <w:rFonts w:ascii="Arial Narrow" w:eastAsia="Times New Roman" w:hAnsi="Arial Narrow" w:cs="Times New Roman"/>
          <w:bCs/>
          <w:sz w:val="23"/>
          <w:szCs w:val="23"/>
          <w:lang w:eastAsia="tr-TR"/>
        </w:rPr>
        <w:t xml:space="preserve"> kanıtlanması gerek</w:t>
      </w:r>
      <w:r>
        <w:rPr>
          <w:rFonts w:ascii="Arial Narrow" w:eastAsia="Times New Roman" w:hAnsi="Arial Narrow" w:cs="Times New Roman"/>
          <w:bCs/>
          <w:sz w:val="23"/>
          <w:szCs w:val="23"/>
          <w:lang w:eastAsia="tr-TR"/>
        </w:rPr>
        <w:t>ir.</w:t>
      </w:r>
      <w:r w:rsidRPr="00EC42C7">
        <w:rPr>
          <w:rFonts w:ascii="Arial Narrow" w:eastAsia="Times New Roman" w:hAnsi="Arial Narrow" w:cs="Times New Roman"/>
          <w:bCs/>
          <w:sz w:val="23"/>
          <w:szCs w:val="23"/>
          <w:lang w:eastAsia="tr-TR"/>
        </w:rPr>
        <w:t xml:space="preserve"> Ayrıca</w:t>
      </w:r>
      <w:r>
        <w:rPr>
          <w:rFonts w:ascii="Arial Narrow" w:eastAsia="Times New Roman" w:hAnsi="Arial Narrow" w:cs="Times New Roman"/>
          <w:bCs/>
          <w:sz w:val="23"/>
          <w:szCs w:val="23"/>
          <w:lang w:eastAsia="tr-TR"/>
        </w:rPr>
        <w:t>, başvurucunun</w:t>
      </w:r>
      <w:r w:rsidRPr="00EC42C7">
        <w:rPr>
          <w:rFonts w:ascii="Arial Narrow" w:eastAsia="Times New Roman" w:hAnsi="Arial Narrow" w:cs="Times New Roman"/>
          <w:bCs/>
          <w:sz w:val="23"/>
          <w:szCs w:val="23"/>
          <w:lang w:eastAsia="tr-TR"/>
        </w:rPr>
        <w:t xml:space="preserve"> bu eylemleri yaparken</w:t>
      </w:r>
      <w:r>
        <w:rPr>
          <w:rFonts w:ascii="Arial Narrow" w:eastAsia="Times New Roman" w:hAnsi="Arial Narrow" w:cs="Times New Roman"/>
          <w:bCs/>
          <w:sz w:val="23"/>
          <w:szCs w:val="23"/>
          <w:lang w:eastAsia="tr-TR"/>
        </w:rPr>
        <w:t xml:space="preserve"> </w:t>
      </w:r>
      <w:r w:rsidRPr="00EC42C7">
        <w:rPr>
          <w:rFonts w:ascii="Arial Narrow" w:eastAsia="Times New Roman" w:hAnsi="Arial Narrow" w:cs="Times New Roman"/>
          <w:bCs/>
          <w:sz w:val="23"/>
          <w:szCs w:val="23"/>
          <w:lang w:eastAsia="tr-TR"/>
        </w:rPr>
        <w:t>de iddia edildiği gibi cemaatin belli amaçları silahla gerçekleştirme amacı olduğuna ve bu amacı bilerek ve isteyerek hareket ettiği</w:t>
      </w:r>
      <w:r>
        <w:rPr>
          <w:rFonts w:ascii="Arial Narrow" w:eastAsia="Times New Roman" w:hAnsi="Arial Narrow" w:cs="Times New Roman"/>
          <w:bCs/>
          <w:sz w:val="23"/>
          <w:szCs w:val="23"/>
          <w:lang w:eastAsia="tr-TR"/>
        </w:rPr>
        <w:t>n</w:t>
      </w:r>
      <w:r w:rsidRPr="00EC42C7">
        <w:rPr>
          <w:rFonts w:ascii="Arial Narrow" w:eastAsia="Times New Roman" w:hAnsi="Arial Narrow" w:cs="Times New Roman"/>
          <w:bCs/>
          <w:sz w:val="23"/>
          <w:szCs w:val="23"/>
          <w:lang w:eastAsia="tr-TR"/>
        </w:rPr>
        <w:t>e dair bir delil de yoktur.</w:t>
      </w:r>
    </w:p>
    <w:p w14:paraId="5B522DDD" w14:textId="77777777" w:rsidR="008C311B" w:rsidRPr="00EC42C7" w:rsidRDefault="008C311B" w:rsidP="00173FA0">
      <w:pPr>
        <w:pStyle w:val="NormalWeb"/>
        <w:shd w:val="clear" w:color="auto" w:fill="FFFFFF"/>
        <w:spacing w:before="0" w:beforeAutospacing="0" w:after="120" w:afterAutospacing="0" w:line="276" w:lineRule="auto"/>
        <w:jc w:val="both"/>
        <w:rPr>
          <w:rStyle w:val="Gl"/>
          <w:rFonts w:ascii="Arial Narrow" w:hAnsi="Arial Narrow"/>
          <w:b w:val="0"/>
          <w:sz w:val="23"/>
          <w:szCs w:val="23"/>
          <w:bdr w:val="none" w:sz="0" w:space="0" w:color="auto" w:frame="1"/>
          <w:shd w:val="clear" w:color="auto" w:fill="FFFFFF"/>
        </w:rPr>
      </w:pPr>
      <w:r w:rsidRPr="00EC42C7">
        <w:rPr>
          <w:rFonts w:ascii="Arial Narrow" w:hAnsi="Arial Narrow"/>
          <w:bCs/>
          <w:sz w:val="23"/>
          <w:szCs w:val="23"/>
        </w:rPr>
        <w:t>İlk derece mahkemesi ve üst mahkemeler TCK’nın 314/2 maddesinin tamamen öngörülemez biçimde yorumlayarak yapıldıkları tarihte tamamen yasal ve hak kullanımı niteliğindeki, herhangi bir suç unsuru taşımayan eylemleri suç olarak değerlendirmişler ve ceza vermişlerdir. Nitekim yargı içtihatları uyarınca,</w:t>
      </w:r>
      <w:r w:rsidRPr="00EC42C7">
        <w:rPr>
          <w:rFonts w:ascii="Arial Narrow" w:hAnsi="Arial Narrow"/>
          <w:b/>
          <w:bCs/>
          <w:sz w:val="23"/>
          <w:szCs w:val="23"/>
        </w:rPr>
        <w:t xml:space="preserve"> </w:t>
      </w:r>
      <w:r w:rsidRPr="00EC42C7">
        <w:rPr>
          <w:rStyle w:val="Gl"/>
          <w:rFonts w:ascii="Arial Narrow" w:hAnsi="Arial Narrow"/>
          <w:b w:val="0"/>
          <w:sz w:val="23"/>
          <w:szCs w:val="23"/>
          <w:bdr w:val="none" w:sz="0" w:space="0" w:color="auto" w:frame="1"/>
          <w:shd w:val="clear" w:color="auto" w:fill="FFFFFF"/>
        </w:rPr>
        <w:t>yasal kuruluşların faaliyetleri çerçevesinde yapılıp meşru bir hakkın kullanılmasını içeren faaliyetler örgütsel kabul edilmemektedir.</w:t>
      </w:r>
      <w:r w:rsidRPr="00EC42C7">
        <w:rPr>
          <w:rStyle w:val="DipnotBavurusu"/>
          <w:rFonts w:ascii="Arial Narrow" w:hAnsi="Arial Narrow"/>
          <w:bCs/>
          <w:sz w:val="23"/>
          <w:szCs w:val="23"/>
          <w:bdr w:val="none" w:sz="0" w:space="0" w:color="auto" w:frame="1"/>
          <w:shd w:val="clear" w:color="auto" w:fill="FFFFFF"/>
        </w:rPr>
        <w:footnoteReference w:id="26"/>
      </w:r>
      <w:r w:rsidRPr="00EC42C7">
        <w:rPr>
          <w:rStyle w:val="Gl"/>
          <w:rFonts w:ascii="Arial Narrow" w:hAnsi="Arial Narrow"/>
          <w:b w:val="0"/>
          <w:sz w:val="23"/>
          <w:szCs w:val="23"/>
          <w:bdr w:val="none" w:sz="0" w:space="0" w:color="auto" w:frame="1"/>
          <w:shd w:val="clear" w:color="auto" w:fill="FFFFFF"/>
        </w:rPr>
        <w:t xml:space="preserve"> Bu durum da mahkemelerin yaptığı yorumla, silahlı terör örgütü üyeliği suçunun öngörülemez hale getirildiğinin diğer bir göstergesidir. </w:t>
      </w:r>
    </w:p>
    <w:p w14:paraId="7AB6582A" w14:textId="77777777" w:rsidR="008C311B" w:rsidRPr="00EC42C7" w:rsidRDefault="008C311B" w:rsidP="00173FA0">
      <w:pPr>
        <w:pStyle w:val="NormalWeb"/>
        <w:shd w:val="clear" w:color="auto" w:fill="FFFFFF"/>
        <w:spacing w:before="0" w:beforeAutospacing="0" w:after="120" w:afterAutospacing="0" w:line="276" w:lineRule="auto"/>
        <w:jc w:val="both"/>
        <w:rPr>
          <w:rFonts w:ascii="Arial Narrow" w:hAnsi="Arial Narrow"/>
          <w:sz w:val="23"/>
          <w:szCs w:val="23"/>
        </w:rPr>
      </w:pPr>
      <w:r w:rsidRPr="00EC42C7">
        <w:rPr>
          <w:rFonts w:ascii="Arial Narrow" w:hAnsi="Arial Narrow"/>
          <w:sz w:val="23"/>
          <w:szCs w:val="23"/>
        </w:rPr>
        <w:t xml:space="preserve">Gerçekten de, kriter adı altında yargılamaya gerekçe yapılan hususların yelpazesi o kadar geniştir ki, bu kriterlerle ülkede terör örgütü üyeliğinden ceza almayacak kimse neredeyse yoktur ve bu kriterler nedeniyle cezalandırılıp cezalandırılmamak tamamen uygulayıcıların insafına kalmıştır. İşte bu nedenlerle AİHM, 314. </w:t>
      </w:r>
      <w:r w:rsidRPr="00EC42C7">
        <w:rPr>
          <w:rFonts w:ascii="Arial Narrow" w:hAnsi="Arial Narrow"/>
          <w:sz w:val="23"/>
          <w:szCs w:val="23"/>
        </w:rPr>
        <w:lastRenderedPageBreak/>
        <w:t>maddenin öngörülebilir olmadığını ve yasal bir faaliyetin bile terör örgütü üyeliğiyle suçlanmak için yeterli olduğunu belirtmiştir.</w:t>
      </w:r>
      <w:r w:rsidRPr="00EC42C7">
        <w:rPr>
          <w:rStyle w:val="DipnotBavurusu"/>
          <w:rFonts w:ascii="Arial Narrow" w:hAnsi="Arial Narrow"/>
          <w:bCs/>
          <w:sz w:val="23"/>
          <w:szCs w:val="23"/>
        </w:rPr>
        <w:t xml:space="preserve"> </w:t>
      </w:r>
      <w:r w:rsidRPr="00EC42C7">
        <w:rPr>
          <w:rStyle w:val="DipnotBavurusu"/>
          <w:rFonts w:ascii="Arial Narrow" w:hAnsi="Arial Narrow"/>
          <w:bCs/>
          <w:sz w:val="23"/>
          <w:szCs w:val="23"/>
        </w:rPr>
        <w:footnoteReference w:id="27"/>
      </w:r>
      <w:r w:rsidRPr="00EC42C7">
        <w:rPr>
          <w:rStyle w:val="DipnotBavurusu"/>
          <w:rFonts w:ascii="Arial Narrow" w:hAnsi="Arial Narrow"/>
          <w:bCs/>
          <w:sz w:val="23"/>
          <w:szCs w:val="23"/>
          <w:bdr w:val="none" w:sz="0" w:space="0" w:color="auto" w:frame="1"/>
          <w:shd w:val="clear" w:color="auto" w:fill="FFFFFF"/>
        </w:rPr>
        <w:t xml:space="preserve"> </w:t>
      </w:r>
    </w:p>
    <w:p w14:paraId="40613E24" w14:textId="77777777" w:rsidR="008C311B" w:rsidRPr="00EC42C7" w:rsidRDefault="008C311B" w:rsidP="00173FA0">
      <w:pPr>
        <w:autoSpaceDE w:val="0"/>
        <w:autoSpaceDN w:val="0"/>
        <w:adjustRightInd w:val="0"/>
        <w:spacing w:after="120"/>
        <w:jc w:val="both"/>
        <w:rPr>
          <w:rFonts w:ascii="Arial Narrow" w:hAnsi="Arial Narrow" w:cs="Times New Roman"/>
          <w:bCs/>
          <w:sz w:val="23"/>
          <w:szCs w:val="23"/>
        </w:rPr>
      </w:pPr>
      <w:r w:rsidRPr="00EC42C7">
        <w:rPr>
          <w:rFonts w:ascii="Arial Narrow" w:eastAsia="Times New Roman" w:hAnsi="Arial Narrow" w:cs="Times New Roman"/>
          <w:sz w:val="23"/>
          <w:szCs w:val="23"/>
          <w:lang w:eastAsia="tr-TR"/>
        </w:rPr>
        <w:t>Konuyla ilgili Venedik Komisyonu da 314. maddenin ölçüsüz müeyyideler öngördüğünü, çok geniş kapsamlı uygulandığını ve Kişisel ve Siyasal Haklar Sözleşmesi ile AİHS’te korunan hakları cezalandırma konusu yaptığını belirtmiştir. Yine Komisyona göre; maddenin bu uluslararası sözleşmelere uygun hale getirilebilmesi için radikal olarak farklı bir şekilde uygulanması ve Yargıtay içtihatlarında belirtildiği şekliyle, sanıklara isnat edilen eylemlerin </w:t>
      </w:r>
      <w:r w:rsidRPr="00EC42C7">
        <w:rPr>
          <w:rFonts w:ascii="Arial Narrow" w:eastAsia="Times New Roman" w:hAnsi="Arial Narrow" w:cs="Times New Roman"/>
          <w:i/>
          <w:iCs/>
          <w:sz w:val="23"/>
          <w:szCs w:val="23"/>
          <w:lang w:eastAsia="tr-TR"/>
        </w:rPr>
        <w:t>“devamlılık, çeşitlilik ve yoğunluk”</w:t>
      </w:r>
      <w:r w:rsidRPr="00EC42C7">
        <w:rPr>
          <w:rFonts w:ascii="Arial Narrow" w:eastAsia="Times New Roman" w:hAnsi="Arial Narrow" w:cs="Times New Roman"/>
          <w:sz w:val="23"/>
          <w:szCs w:val="23"/>
          <w:lang w:eastAsia="tr-TR"/>
        </w:rPr>
        <w:t> gösterdiğinin ve silahlı terör örgütüyle </w:t>
      </w:r>
      <w:r w:rsidRPr="00EC42C7">
        <w:rPr>
          <w:rFonts w:ascii="Arial Narrow" w:eastAsia="Times New Roman" w:hAnsi="Arial Narrow" w:cs="Times New Roman"/>
          <w:i/>
          <w:iCs/>
          <w:sz w:val="23"/>
          <w:szCs w:val="23"/>
          <w:lang w:eastAsia="tr-TR"/>
        </w:rPr>
        <w:t>“organik bir bağı”</w:t>
      </w:r>
      <w:r w:rsidRPr="00EC42C7">
        <w:rPr>
          <w:rFonts w:ascii="Arial Narrow" w:eastAsia="Times New Roman" w:hAnsi="Arial Narrow" w:cs="Times New Roman"/>
          <w:sz w:val="23"/>
          <w:szCs w:val="23"/>
          <w:lang w:eastAsia="tr-TR"/>
        </w:rPr>
        <w:t> olduğunun ortaya konulması veya eylemlerinin örgütün </w:t>
      </w:r>
      <w:r w:rsidRPr="00EC42C7">
        <w:rPr>
          <w:rFonts w:ascii="Arial Narrow" w:eastAsia="Times New Roman" w:hAnsi="Arial Narrow" w:cs="Times New Roman"/>
          <w:i/>
          <w:iCs/>
          <w:sz w:val="23"/>
          <w:szCs w:val="23"/>
          <w:lang w:eastAsia="tr-TR"/>
        </w:rPr>
        <w:t>“hiyerarşik yapısı içinde”</w:t>
      </w:r>
      <w:r w:rsidRPr="00EC42C7">
        <w:rPr>
          <w:rFonts w:ascii="Arial Narrow" w:eastAsia="Times New Roman" w:hAnsi="Arial Narrow" w:cs="Times New Roman"/>
          <w:sz w:val="23"/>
          <w:szCs w:val="23"/>
          <w:lang w:eastAsia="tr-TR"/>
        </w:rPr>
        <w:t> bilerek ve istenerek gerçekleştirilen eylemler olarak değerlendirilmesine ilişkin kriterlerin katı bir şekilde uygulanması gerekmektedir.</w:t>
      </w:r>
      <w:r w:rsidRPr="00EC42C7">
        <w:rPr>
          <w:rStyle w:val="DipnotBavurusu"/>
          <w:rFonts w:ascii="Arial Narrow" w:hAnsi="Arial Narrow"/>
          <w:sz w:val="23"/>
          <w:szCs w:val="23"/>
          <w:lang w:eastAsia="tr-TR"/>
        </w:rPr>
        <w:footnoteReference w:id="28"/>
      </w:r>
    </w:p>
    <w:p w14:paraId="7C874E34" w14:textId="121F55F7" w:rsidR="008B440F" w:rsidRPr="0053504C" w:rsidRDefault="008324DA" w:rsidP="00173FA0">
      <w:pPr>
        <w:tabs>
          <w:tab w:val="left" w:pos="567"/>
          <w:tab w:val="left" w:pos="1134"/>
          <w:tab w:val="left" w:pos="1680"/>
          <w:tab w:val="left" w:pos="2241"/>
          <w:tab w:val="left" w:pos="2799"/>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b/>
          <w:sz w:val="23"/>
          <w:szCs w:val="23"/>
        </w:rPr>
      </w:pPr>
      <w:r>
        <w:rPr>
          <w:rFonts w:ascii="Arial Narrow" w:hAnsi="Arial Narrow" w:cs="Times New Roman"/>
          <w:b/>
          <w:sz w:val="23"/>
          <w:szCs w:val="23"/>
        </w:rPr>
        <w:t>7</w:t>
      </w:r>
      <w:r w:rsidR="008B440F" w:rsidRPr="0053504C">
        <w:rPr>
          <w:rFonts w:ascii="Arial Narrow" w:hAnsi="Arial Narrow" w:cs="Times New Roman"/>
          <w:b/>
          <w:sz w:val="23"/>
          <w:szCs w:val="23"/>
        </w:rPr>
        <w:t>) Özel Hayata ve Haberleşmenin Gizliliğine Saygı Hakkı</w:t>
      </w:r>
    </w:p>
    <w:p w14:paraId="2E4C150A" w14:textId="77777777" w:rsidR="008C311B" w:rsidRPr="00EC42C7" w:rsidRDefault="008C311B" w:rsidP="00173FA0">
      <w:pPr>
        <w:tabs>
          <w:tab w:val="left" w:pos="567"/>
          <w:tab w:val="left" w:pos="1134"/>
          <w:tab w:val="left" w:pos="1680"/>
          <w:tab w:val="left" w:pos="2241"/>
          <w:tab w:val="left" w:pos="2799"/>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3"/>
          <w:szCs w:val="23"/>
        </w:rPr>
      </w:pPr>
      <w:r w:rsidRPr="00EC42C7">
        <w:rPr>
          <w:rFonts w:ascii="Arial Narrow" w:hAnsi="Arial Narrow" w:cs="Times New Roman"/>
          <w:sz w:val="23"/>
          <w:szCs w:val="23"/>
        </w:rPr>
        <w:t xml:space="preserve">... tarihinde </w:t>
      </w:r>
      <w:r>
        <w:rPr>
          <w:rFonts w:ascii="Arial Narrow" w:hAnsi="Arial Narrow" w:cs="Times New Roman"/>
          <w:sz w:val="23"/>
          <w:szCs w:val="23"/>
        </w:rPr>
        <w:t xml:space="preserve">başvurucunun </w:t>
      </w:r>
      <w:r w:rsidRPr="00EC42C7">
        <w:rPr>
          <w:rFonts w:ascii="Arial Narrow" w:hAnsi="Arial Narrow" w:cs="Times New Roman"/>
          <w:sz w:val="23"/>
          <w:szCs w:val="23"/>
        </w:rPr>
        <w:t>evi</w:t>
      </w:r>
      <w:r>
        <w:rPr>
          <w:rFonts w:ascii="Arial Narrow" w:hAnsi="Arial Narrow" w:cs="Times New Roman"/>
          <w:sz w:val="23"/>
          <w:szCs w:val="23"/>
        </w:rPr>
        <w:t>n</w:t>
      </w:r>
      <w:r w:rsidRPr="00EC42C7">
        <w:rPr>
          <w:rFonts w:ascii="Arial Narrow" w:hAnsi="Arial Narrow" w:cs="Times New Roman"/>
          <w:sz w:val="23"/>
          <w:szCs w:val="23"/>
        </w:rPr>
        <w:t>de/aracı</w:t>
      </w:r>
      <w:r>
        <w:rPr>
          <w:rFonts w:ascii="Arial Narrow" w:hAnsi="Arial Narrow" w:cs="Times New Roman"/>
          <w:sz w:val="23"/>
          <w:szCs w:val="23"/>
        </w:rPr>
        <w:t>n</w:t>
      </w:r>
      <w:r w:rsidRPr="00EC42C7">
        <w:rPr>
          <w:rFonts w:ascii="Arial Narrow" w:hAnsi="Arial Narrow" w:cs="Times New Roman"/>
          <w:sz w:val="23"/>
          <w:szCs w:val="23"/>
        </w:rPr>
        <w:t>da/işyeri</w:t>
      </w:r>
      <w:r>
        <w:rPr>
          <w:rFonts w:ascii="Arial Narrow" w:hAnsi="Arial Narrow" w:cs="Times New Roman"/>
          <w:sz w:val="23"/>
          <w:szCs w:val="23"/>
        </w:rPr>
        <w:t>n</w:t>
      </w:r>
      <w:r w:rsidRPr="00EC42C7">
        <w:rPr>
          <w:rFonts w:ascii="Arial Narrow" w:hAnsi="Arial Narrow" w:cs="Times New Roman"/>
          <w:sz w:val="23"/>
          <w:szCs w:val="23"/>
        </w:rPr>
        <w:t>de arama yapılmış ve kişisel bilgileri</w:t>
      </w:r>
      <w:r>
        <w:rPr>
          <w:rFonts w:ascii="Arial Narrow" w:hAnsi="Arial Narrow" w:cs="Times New Roman"/>
          <w:sz w:val="23"/>
          <w:szCs w:val="23"/>
        </w:rPr>
        <w:t>n</w:t>
      </w:r>
      <w:r w:rsidRPr="00EC42C7">
        <w:rPr>
          <w:rFonts w:ascii="Arial Narrow" w:hAnsi="Arial Narrow" w:cs="Times New Roman"/>
          <w:sz w:val="23"/>
          <w:szCs w:val="23"/>
        </w:rPr>
        <w:t>i içeren cep telefonu</w:t>
      </w:r>
      <w:r>
        <w:rPr>
          <w:rFonts w:ascii="Arial Narrow" w:hAnsi="Arial Narrow" w:cs="Times New Roman"/>
          <w:sz w:val="23"/>
          <w:szCs w:val="23"/>
        </w:rPr>
        <w:t>n</w:t>
      </w:r>
      <w:r w:rsidRPr="00EC42C7">
        <w:rPr>
          <w:rFonts w:ascii="Arial Narrow" w:hAnsi="Arial Narrow" w:cs="Times New Roman"/>
          <w:sz w:val="23"/>
          <w:szCs w:val="23"/>
        </w:rPr>
        <w:t>a, bilgisayarı</w:t>
      </w:r>
      <w:r>
        <w:rPr>
          <w:rFonts w:ascii="Arial Narrow" w:hAnsi="Arial Narrow" w:cs="Times New Roman"/>
          <w:sz w:val="23"/>
          <w:szCs w:val="23"/>
        </w:rPr>
        <w:t>n</w:t>
      </w:r>
      <w:r w:rsidRPr="00EC42C7">
        <w:rPr>
          <w:rFonts w:ascii="Arial Narrow" w:hAnsi="Arial Narrow" w:cs="Times New Roman"/>
          <w:sz w:val="23"/>
          <w:szCs w:val="23"/>
        </w:rPr>
        <w:t xml:space="preserve">a el konulmuş; CMK hükümlerine aykırı olarak el koyma esnasında bu dijital materyallerin imajı alınmamış ve bir örneği </w:t>
      </w:r>
      <w:r>
        <w:rPr>
          <w:rFonts w:ascii="Arial Narrow" w:hAnsi="Arial Narrow" w:cs="Times New Roman"/>
          <w:sz w:val="23"/>
          <w:szCs w:val="23"/>
        </w:rPr>
        <w:t>kendisine</w:t>
      </w:r>
      <w:r w:rsidRPr="00EC42C7">
        <w:rPr>
          <w:rFonts w:ascii="Arial Narrow" w:hAnsi="Arial Narrow" w:cs="Times New Roman"/>
          <w:sz w:val="23"/>
          <w:szCs w:val="23"/>
        </w:rPr>
        <w:t xml:space="preserve"> verilmemiştir.</w:t>
      </w:r>
    </w:p>
    <w:p w14:paraId="37CFF4EE" w14:textId="77777777" w:rsidR="008C311B" w:rsidRPr="00EC42C7" w:rsidRDefault="008C311B" w:rsidP="00173FA0">
      <w:pPr>
        <w:tabs>
          <w:tab w:val="left" w:pos="567"/>
          <w:tab w:val="left" w:pos="1134"/>
          <w:tab w:val="left" w:pos="1680"/>
          <w:tab w:val="left" w:pos="2241"/>
          <w:tab w:val="left" w:pos="2799"/>
          <w:tab w:val="left" w:pos="3360"/>
          <w:tab w:val="left" w:pos="3920"/>
          <w:tab w:val="left" w:pos="4480"/>
          <w:tab w:val="left" w:pos="5040"/>
          <w:tab w:val="left" w:pos="5600"/>
          <w:tab w:val="left" w:pos="6160"/>
          <w:tab w:val="left" w:pos="6720"/>
        </w:tabs>
        <w:autoSpaceDE w:val="0"/>
        <w:autoSpaceDN w:val="0"/>
        <w:adjustRightInd w:val="0"/>
        <w:spacing w:after="120"/>
        <w:jc w:val="both"/>
        <w:rPr>
          <w:rFonts w:ascii="Arial Narrow" w:hAnsi="Arial Narrow" w:cs="Times New Roman"/>
          <w:sz w:val="23"/>
          <w:szCs w:val="23"/>
        </w:rPr>
      </w:pPr>
      <w:r w:rsidRPr="00EC42C7">
        <w:rPr>
          <w:rFonts w:ascii="Arial Narrow" w:hAnsi="Arial Narrow" w:cs="Times New Roman"/>
          <w:sz w:val="23"/>
          <w:szCs w:val="23"/>
        </w:rPr>
        <w:t>Avukatla olan görüşmelerin izlenmesi, belgelerin denetlenmesi ve mektupların incelenmesi yoluyla da avukat müvekkil mahremiyetine haksız ve gereksiz bir şekilde müdahale edilmiştir.</w:t>
      </w:r>
    </w:p>
    <w:p w14:paraId="3FF40F33" w14:textId="77777777" w:rsidR="008C311B" w:rsidRPr="00EC42C7" w:rsidRDefault="008C311B" w:rsidP="00173FA0">
      <w:pPr>
        <w:tabs>
          <w:tab w:val="left" w:pos="284"/>
          <w:tab w:val="left" w:pos="567"/>
          <w:tab w:val="left" w:pos="851"/>
          <w:tab w:val="left" w:pos="1134"/>
          <w:tab w:val="left" w:pos="1418"/>
        </w:tabs>
        <w:spacing w:after="120"/>
        <w:jc w:val="both"/>
        <w:rPr>
          <w:rFonts w:ascii="Arial Narrow" w:hAnsi="Arial Narrow" w:cs="Times New Roman"/>
          <w:sz w:val="23"/>
          <w:szCs w:val="23"/>
        </w:rPr>
      </w:pPr>
      <w:r w:rsidRPr="00EC42C7">
        <w:rPr>
          <w:rFonts w:ascii="Arial Narrow" w:hAnsi="Arial Narrow" w:cs="Times New Roman"/>
          <w:sz w:val="23"/>
          <w:szCs w:val="23"/>
        </w:rPr>
        <w:t>Ayrıca, h</w:t>
      </w:r>
      <w:r w:rsidRPr="00EC42C7">
        <w:rPr>
          <w:rFonts w:ascii="Arial Narrow" w:hAnsi="Arial Narrow" w:cs="Times New Roman"/>
          <w:color w:val="222222"/>
          <w:sz w:val="23"/>
          <w:szCs w:val="23"/>
          <w:shd w:val="clear" w:color="auto" w:fill="FFFFFF"/>
        </w:rPr>
        <w:t>aberleşmeleri</w:t>
      </w:r>
      <w:r>
        <w:rPr>
          <w:rFonts w:ascii="Arial Narrow" w:hAnsi="Arial Narrow" w:cs="Times New Roman"/>
          <w:color w:val="222222"/>
          <w:sz w:val="23"/>
          <w:szCs w:val="23"/>
          <w:shd w:val="clear" w:color="auto" w:fill="FFFFFF"/>
        </w:rPr>
        <w:t>n</w:t>
      </w:r>
      <w:r w:rsidRPr="00EC42C7">
        <w:rPr>
          <w:rFonts w:ascii="Arial Narrow" w:hAnsi="Arial Narrow" w:cs="Times New Roman"/>
          <w:color w:val="222222"/>
          <w:sz w:val="23"/>
          <w:szCs w:val="23"/>
          <w:shd w:val="clear" w:color="auto" w:fill="FFFFFF"/>
        </w:rPr>
        <w:t>e ilişkin internet trafik bilgilerim/telefon görüşme kayıtları (HTS); …. isimli haberleşme uygulamasını kullandığı/hakkında soruşturma ve kovuşturma bulunan bazı kişilerle geçmişe görüştüğü/telefonu</w:t>
      </w:r>
      <w:r>
        <w:rPr>
          <w:rFonts w:ascii="Arial Narrow" w:hAnsi="Arial Narrow" w:cs="Times New Roman"/>
          <w:color w:val="222222"/>
          <w:sz w:val="23"/>
          <w:szCs w:val="23"/>
          <w:shd w:val="clear" w:color="auto" w:fill="FFFFFF"/>
        </w:rPr>
        <w:t>n</w:t>
      </w:r>
      <w:r w:rsidRPr="00EC42C7">
        <w:rPr>
          <w:rFonts w:ascii="Arial Narrow" w:hAnsi="Arial Narrow" w:cs="Times New Roman"/>
          <w:color w:val="222222"/>
          <w:sz w:val="23"/>
          <w:szCs w:val="23"/>
          <w:shd w:val="clear" w:color="auto" w:fill="FFFFFF"/>
        </w:rPr>
        <w:t xml:space="preserve">un aynı baz istasyonundan sinyal verdiği iddialarıyla dosyaya getirtilmiş </w:t>
      </w:r>
      <w:r w:rsidRPr="00EC42C7">
        <w:rPr>
          <w:rFonts w:ascii="Arial Narrow" w:hAnsi="Arial Narrow" w:cs="Times New Roman"/>
          <w:b/>
          <w:color w:val="222222"/>
          <w:sz w:val="23"/>
          <w:szCs w:val="23"/>
          <w:shd w:val="clear" w:color="auto" w:fill="FFFFFF"/>
        </w:rPr>
        <w:t>(Bu kayıtlar ve bilgiler (/) işaretiyle ayrılan sebeplerden hangisi ya da hangilerine dayanılarak istenmişse o sebepler yazılmalı)</w:t>
      </w:r>
      <w:r w:rsidRPr="00EC42C7">
        <w:rPr>
          <w:rFonts w:ascii="Arial Narrow" w:hAnsi="Arial Narrow" w:cs="Times New Roman"/>
          <w:color w:val="222222"/>
          <w:sz w:val="23"/>
          <w:szCs w:val="23"/>
          <w:shd w:val="clear" w:color="auto" w:fill="FFFFFF"/>
        </w:rPr>
        <w:t xml:space="preserve"> ve bu bilgi ve kayıtlar örgüt üyeliğinden/yardımdan mahkumiyete gerekçe yapılmıştır. Ancak, bu bilgi ve kayıtlar g</w:t>
      </w:r>
      <w:r w:rsidRPr="00EC42C7">
        <w:rPr>
          <w:rFonts w:ascii="Arial Narrow" w:hAnsi="Arial Narrow" w:cs="Times New Roman"/>
          <w:sz w:val="23"/>
          <w:szCs w:val="23"/>
        </w:rPr>
        <w:t>erekli usullere uyulmadan ve buna izin veren bir yasal düzenleme olmaksızın ele geçirilmiş ve işlenmiştir.</w:t>
      </w:r>
      <w:r w:rsidRPr="00EC42C7">
        <w:rPr>
          <w:rFonts w:ascii="Arial Narrow" w:hAnsi="Arial Narrow" w:cs="Times New Roman"/>
          <w:color w:val="222222"/>
          <w:sz w:val="23"/>
          <w:szCs w:val="23"/>
          <w:shd w:val="clear" w:color="auto" w:fill="FFFFFF"/>
        </w:rPr>
        <w:t xml:space="preserve"> Şöyle ki; 5809 sayılı Elektronik Haberleşme Kanunu’nun 51/10. maddesinde; kişisel veri niteliğindeki</w:t>
      </w:r>
      <w:r w:rsidRPr="00EC42C7">
        <w:rPr>
          <w:rFonts w:ascii="Arial Narrow" w:hAnsi="Arial Narrow" w:cs="Times New Roman"/>
          <w:b/>
          <w:color w:val="222222"/>
          <w:sz w:val="23"/>
          <w:szCs w:val="23"/>
          <w:shd w:val="clear" w:color="auto" w:fill="FFFFFF"/>
        </w:rPr>
        <w:t xml:space="preserve"> </w:t>
      </w:r>
      <w:r w:rsidRPr="00EC42C7">
        <w:rPr>
          <w:rFonts w:ascii="Arial Narrow" w:hAnsi="Arial Narrow" w:cs="Times New Roman"/>
          <w:sz w:val="23"/>
          <w:szCs w:val="23"/>
        </w:rPr>
        <w:t>internet trafik verilerinin, haberleşmenin yapıldığı tarihten itibaren bir yıldan az ve iki yıldan fazla olmamak üzere saklanacağı ve saklanma sürelerinin yönetmelikle belirleneceği belirtilmiştir. Bu Kanuna dayanılarak çıkarılan Elektronik Haberleşme Sektörüne İlişkin Yetkilendirme Yönetmeliği ve Elektronik Haberleşme Sektöründe Kişisel Verilerin İşlenmesi ve Gizliliğinin Korunması Hakkında Yönetmeliğin 14/1 ve Elektronik Haberleşme Sektörüne İlişkin Yetkilendirme Yönetmeliği’nin 19/1-f maddeleri uyarınca da GSM şirketleri bu bilgileri en fazla bir yıl saklayabilirler. Gerçekleşmeyen (0 saniye) aramalara ilişkin kayıtların ise üç ay süreyle saklanabilecektir.</w:t>
      </w:r>
    </w:p>
    <w:p w14:paraId="10F7EEF9" w14:textId="77777777" w:rsidR="008C311B" w:rsidRPr="00EC42C7" w:rsidRDefault="008C311B" w:rsidP="00173FA0">
      <w:pPr>
        <w:tabs>
          <w:tab w:val="left" w:pos="284"/>
          <w:tab w:val="left" w:pos="567"/>
          <w:tab w:val="left" w:pos="851"/>
          <w:tab w:val="left" w:pos="1134"/>
          <w:tab w:val="left" w:pos="1418"/>
        </w:tabs>
        <w:spacing w:after="120"/>
        <w:jc w:val="both"/>
        <w:rPr>
          <w:rFonts w:ascii="Arial Narrow" w:hAnsi="Arial Narrow" w:cs="Times New Roman"/>
          <w:iCs/>
          <w:sz w:val="23"/>
          <w:szCs w:val="23"/>
        </w:rPr>
      </w:pPr>
      <w:r w:rsidRPr="00EC42C7">
        <w:rPr>
          <w:rFonts w:ascii="Arial Narrow" w:hAnsi="Arial Narrow" w:cs="Times New Roman"/>
          <w:iCs/>
          <w:sz w:val="23"/>
          <w:szCs w:val="23"/>
        </w:rPr>
        <w:t xml:space="preserve">Yönetmelik metninden de anlaşılacağı üzere, yargılamaya konu HTS kayıtlarının ait olduğu dönem dikkate alındığında, saklanma süreleri gerçekleşen aramalar bakımından en fazla bir yıl ve gerçekleşmeyen aramalar bakımından 3 aydır. Bu sürelerden daha fazla bu bilgilerin saklanması özel hayatın gizliliğinin ihlaline neden olmakta ve bu bilgileri hukuka aykırı hale getirmektedir. </w:t>
      </w:r>
    </w:p>
    <w:p w14:paraId="129778F6" w14:textId="77777777" w:rsidR="008C311B" w:rsidRPr="00EC42C7" w:rsidRDefault="008C311B" w:rsidP="00173FA0">
      <w:pPr>
        <w:tabs>
          <w:tab w:val="left" w:pos="284"/>
          <w:tab w:val="left" w:pos="567"/>
          <w:tab w:val="left" w:pos="851"/>
          <w:tab w:val="left" w:pos="1134"/>
          <w:tab w:val="left" w:pos="1418"/>
        </w:tabs>
        <w:spacing w:after="120"/>
        <w:jc w:val="both"/>
        <w:rPr>
          <w:rFonts w:ascii="Arial Narrow" w:hAnsi="Arial Narrow" w:cs="Times New Roman"/>
          <w:iCs/>
          <w:sz w:val="23"/>
          <w:szCs w:val="23"/>
        </w:rPr>
      </w:pPr>
      <w:r w:rsidRPr="00EC42C7">
        <w:rPr>
          <w:rFonts w:ascii="Arial Narrow" w:hAnsi="Arial Narrow" w:cs="Times New Roman"/>
          <w:iCs/>
          <w:sz w:val="23"/>
          <w:szCs w:val="23"/>
        </w:rPr>
        <w:t>Erişim ve yer sağlayıcıların kişisel veri kabul edilen bu bilgileri tutmaları görevlerinden kaynaklanan yasal bir zorunluluk olup ilgililerin temel hak ve özgürlüklerinin korunması amacını taşır. Dolayısıyla, yasal zorunluluk nedeniyle tutulan bilgiler ancak mevzuatta öngörülen süre kadar saklanabilir. Aksi durumun</w:t>
      </w:r>
      <w:r w:rsidRPr="00EC42C7">
        <w:rPr>
          <w:rFonts w:ascii="Arial Narrow" w:hAnsi="Arial Narrow" w:cs="Times New Roman"/>
          <w:i/>
          <w:iCs/>
          <w:sz w:val="23"/>
          <w:szCs w:val="23"/>
        </w:rPr>
        <w:t xml:space="preserve"> </w:t>
      </w:r>
      <w:r w:rsidRPr="00EC42C7">
        <w:rPr>
          <w:rFonts w:ascii="Arial Narrow" w:hAnsi="Arial Narrow" w:cs="Times New Roman"/>
          <w:iCs/>
          <w:sz w:val="23"/>
          <w:szCs w:val="23"/>
        </w:rPr>
        <w:t>kabulü, verilmeyen bir yetkinin keyfi olarak erişim ve yer sağlayıcılar tarafından kullanılması anlamına gelir ki bu durum hukuka aykırıdır.</w:t>
      </w:r>
    </w:p>
    <w:p w14:paraId="5808392D" w14:textId="77777777" w:rsidR="008C311B" w:rsidRPr="00EC42C7" w:rsidRDefault="008C311B" w:rsidP="00173FA0">
      <w:pPr>
        <w:tabs>
          <w:tab w:val="left" w:pos="284"/>
          <w:tab w:val="left" w:pos="567"/>
          <w:tab w:val="left" w:pos="851"/>
          <w:tab w:val="left" w:pos="1134"/>
          <w:tab w:val="left" w:pos="1418"/>
        </w:tabs>
        <w:spacing w:after="120"/>
        <w:jc w:val="both"/>
        <w:rPr>
          <w:rFonts w:ascii="Arial Narrow" w:hAnsi="Arial Narrow" w:cs="Times New Roman"/>
          <w:spacing w:val="-1"/>
          <w:sz w:val="23"/>
          <w:szCs w:val="23"/>
        </w:rPr>
      </w:pPr>
      <w:r w:rsidRPr="00EC42C7">
        <w:rPr>
          <w:rFonts w:ascii="Arial Narrow" w:hAnsi="Arial Narrow" w:cs="Times New Roman"/>
          <w:spacing w:val="-1"/>
          <w:sz w:val="23"/>
          <w:szCs w:val="23"/>
        </w:rPr>
        <w:lastRenderedPageBreak/>
        <w:t xml:space="preserve">Mevzuattaki bu açık hükümlere rağmen; yasal süresi geçmiş HTS kayıtlarının, </w:t>
      </w:r>
      <w:r w:rsidRPr="00EC42C7">
        <w:rPr>
          <w:rFonts w:ascii="Arial Narrow" w:hAnsi="Arial Narrow" w:cs="Times New Roman"/>
          <w:sz w:val="23"/>
          <w:szCs w:val="23"/>
        </w:rPr>
        <w:t>buna izin veren bir düzenleme olmaksızın BTK tarafından bir şekilde fiilen saklandığı veya elde edildiği</w:t>
      </w:r>
      <w:r w:rsidRPr="00EC42C7">
        <w:rPr>
          <w:rFonts w:ascii="Arial Narrow" w:hAnsi="Arial Narrow" w:cs="Times New Roman"/>
          <w:spacing w:val="-1"/>
          <w:sz w:val="23"/>
          <w:szCs w:val="23"/>
        </w:rPr>
        <w:t xml:space="preserve"> anlaşılmaktadır. Bu kayıtlar yargılama makamlarına sunulmuş, bunu yapan kişi ve kurumlar hakkında hiçbir cezai takibatın yapılmamıştır. Belirtilen kayıtların hukuka aykırılık oluşturduğu ise yargılamayı yürüten mahkemeler tarafından göz ardı edilmiş, hukuka aykırı bu bilgiler yargılamaya esas alınmış ve dosyaya konulmak suretiyle alenileştirilmiştir.</w:t>
      </w:r>
    </w:p>
    <w:p w14:paraId="55357F0F" w14:textId="27215E7A" w:rsidR="008C311B" w:rsidRPr="00E16BB4" w:rsidRDefault="008324DA" w:rsidP="00173FA0">
      <w:pPr>
        <w:spacing w:after="120"/>
        <w:jc w:val="both"/>
        <w:rPr>
          <w:rFonts w:ascii="Arial Narrow" w:hAnsi="Arial Narrow"/>
          <w:b/>
          <w:bCs/>
          <w:color w:val="000000" w:themeColor="text1"/>
          <w:sz w:val="23"/>
          <w:szCs w:val="23"/>
        </w:rPr>
      </w:pPr>
      <w:r>
        <w:rPr>
          <w:rFonts w:ascii="Arial Narrow" w:hAnsi="Arial Narrow"/>
          <w:b/>
          <w:bCs/>
          <w:color w:val="000000" w:themeColor="text1"/>
          <w:sz w:val="23"/>
          <w:szCs w:val="23"/>
        </w:rPr>
        <w:t>8</w:t>
      </w:r>
      <w:r w:rsidR="008C311B">
        <w:rPr>
          <w:rFonts w:ascii="Arial Narrow" w:hAnsi="Arial Narrow"/>
          <w:b/>
          <w:bCs/>
          <w:color w:val="000000" w:themeColor="text1"/>
          <w:sz w:val="23"/>
          <w:szCs w:val="23"/>
        </w:rPr>
        <w:t xml:space="preserve">) </w:t>
      </w:r>
      <w:r w:rsidR="008C311B" w:rsidRPr="00E16BB4">
        <w:rPr>
          <w:rFonts w:ascii="Arial Narrow" w:hAnsi="Arial Narrow"/>
          <w:b/>
          <w:bCs/>
          <w:color w:val="000000" w:themeColor="text1"/>
          <w:sz w:val="23"/>
          <w:szCs w:val="23"/>
        </w:rPr>
        <w:t>Hakların Kısıtlanmasının Sınırları İlkesi (AİHS m.18):</w:t>
      </w:r>
    </w:p>
    <w:p w14:paraId="005843B6" w14:textId="77777777" w:rsidR="008C311B" w:rsidRPr="00FA4B62" w:rsidRDefault="008C311B" w:rsidP="00173FA0">
      <w:pPr>
        <w:spacing w:after="120"/>
        <w:jc w:val="both"/>
        <w:rPr>
          <w:rFonts w:ascii="Arial Narrow" w:hAnsi="Arial Narrow"/>
          <w:color w:val="000000" w:themeColor="text1"/>
          <w:sz w:val="23"/>
          <w:szCs w:val="23"/>
        </w:rPr>
      </w:pPr>
      <w:r w:rsidRPr="00FA4B62">
        <w:rPr>
          <w:rFonts w:ascii="Arial Narrow" w:hAnsi="Arial Narrow"/>
          <w:color w:val="000000" w:themeColor="text1"/>
          <w:sz w:val="23"/>
          <w:szCs w:val="23"/>
        </w:rPr>
        <w:t>AİHS ve Anayasa, devlete temel hak ve özgürlüklerin yok edilmesi veya bunların Anayasa ve Sözleşme'de öngörülmüş olandan daha geniş ölçüde sınırlandırılmalarını amaçlayan bir etkinliğe girişme ya da eylemde bulunma hakkı verdiği biçiminde yorumlanamayacağını kabul etmiştir. Anılan hak ve özgürlüklere Anayasa ve Sözleşme hükümleri ile izin verilen kısıtlamalar öngörüldükleri amaç dışında uygulanamaz. AİHMin Demirtaş ve Kavala kararlarında da vurgulandığı gibi, idare başvurucu ve benzer kişiler hakkında gizli bir amaç ve hedef ile politik avantajlar sağlamak gayesiyle yaptırımlar uygulamaktadır. İdare, başvurucu ve benzerlerinin gerçekte bir suça karıştıklarından dolayı değil, politik hedeflerine daha rahat ulaşma ve devlet yapılanması ve işleyişinde istediği manevrayı yapma amacıyla hak ihlalinde bulunmaktadır. Bir idari ve adli süreç beklenmeden bir milyona varan soruşturma, yüzbinleri aşan işten çıkarma, milyar dolarları bulan malvarlıklarına el koyma başka bir şekilde izah edilemez. 9 yılı aşkın bir süredir devam eden ve başvurucuyu da doğrudan etkileyen bu durum darbe girişiminin bastırılması ile izah edilemez. İdare açıkça Anayasa'nın kendisine sağlamış olduğu belli şartlar altında haklanı kısıtlama yetkisini aşmış ve bunu gizli amaçlarına hizmet etmek üzere kötüye kullanmıştır. Devlet, Gülen Hareketi mensubu olduklarını iddia ettiği kişiler hakkında sadece bir düşünce ve inanç sivil toplum kuruluşunun üyeleri veya takipçileri olmaları nedeniyle ayrımcı bir muamele uygulamış ve s</w:t>
      </w:r>
      <w:r>
        <w:rPr>
          <w:rFonts w:ascii="Arial Narrow" w:hAnsi="Arial Narrow"/>
          <w:color w:val="000000" w:themeColor="text1"/>
          <w:sz w:val="23"/>
          <w:szCs w:val="23"/>
        </w:rPr>
        <w:t>ı</w:t>
      </w:r>
      <w:r w:rsidRPr="00FA4B62">
        <w:rPr>
          <w:rFonts w:ascii="Arial Narrow" w:hAnsi="Arial Narrow"/>
          <w:color w:val="000000" w:themeColor="text1"/>
          <w:sz w:val="23"/>
          <w:szCs w:val="23"/>
        </w:rPr>
        <w:t>rf bu kimlik aidiyeti nedeniyle onlan yok etmeyi hedefleyerek sözleşmenin kendisine tanıdığı haklanı ayrımcı muamele zemininde kötüye kullanmıştır (AİHS'nin 18. maddesi ihlal edilmiştir). Bu konuda BM Haksız Tutuklama Çalışma Grubu Mestan Yayman (A/HRC/WGAD/2018/42), Hamza Yaman (A/HRC/WGAD/2018/78) ve diğer bir çok kararında "FETÖ/PDY” suçlaması ile muhatap olanlara yönelik yaşanan ihlallerin ayrımcılık temelli olduğu tespitlerine yer verilmiştir.</w:t>
      </w:r>
    </w:p>
    <w:p w14:paraId="552A47C0" w14:textId="77777777" w:rsidR="008C311B" w:rsidRPr="00FA4B62" w:rsidRDefault="008C311B" w:rsidP="00173FA0">
      <w:pPr>
        <w:spacing w:after="120"/>
        <w:jc w:val="both"/>
        <w:rPr>
          <w:rFonts w:ascii="Arial Narrow" w:hAnsi="Arial Narrow"/>
          <w:color w:val="000000" w:themeColor="text1"/>
          <w:sz w:val="23"/>
          <w:szCs w:val="23"/>
        </w:rPr>
      </w:pPr>
      <w:r w:rsidRPr="00FA4B62">
        <w:rPr>
          <w:rFonts w:ascii="Arial Narrow" w:hAnsi="Arial Narrow"/>
          <w:color w:val="000000" w:themeColor="text1"/>
          <w:sz w:val="23"/>
          <w:szCs w:val="23"/>
        </w:rPr>
        <w:t xml:space="preserve">AİHM'in 18. madde için belirlediği kriterlerin ve içtihatlarında ihlal nedeni saydığı gerekçelerin hepsi "FETÖ/PDY" iddiasıyla yapılan işlemler için de geçerlidir ve hatta fazlasıyla mevcuttur. İlk olarak, AİHM kararlarında kısıtlamanın "makul bir şüpheye dayanmaması" ve "başvurucuya atılı eylemlerin suç unsuru içermemesi ihlal nedeni sayılmaktadır. </w:t>
      </w:r>
      <w:r>
        <w:rPr>
          <w:rFonts w:ascii="Arial Narrow" w:hAnsi="Arial Narrow"/>
          <w:color w:val="000000" w:themeColor="text1"/>
          <w:sz w:val="23"/>
          <w:szCs w:val="23"/>
        </w:rPr>
        <w:t>Cemaat</w:t>
      </w:r>
      <w:r w:rsidRPr="00FA4B62">
        <w:rPr>
          <w:rFonts w:ascii="Arial Narrow" w:hAnsi="Arial Narrow"/>
          <w:color w:val="000000" w:themeColor="text1"/>
          <w:sz w:val="23"/>
          <w:szCs w:val="23"/>
        </w:rPr>
        <w:t xml:space="preserve"> mensuplarına yöneltilen ByLock kullanma, Bank Asya'ya para yatırma, yasal kurumlarda çalışma, sendika/dernek yöneticiliği üyeliği, dini sohbetlere katılma gibi iddiaların tamamı işlendiği tarihte ve halen, yasal ve suç unsuru içermeyen eylemlerdir. Nitekim 15 Temmuz 2016 öncesinde bu eylemlerden dolayı hiç kimse hakkında soruşturma açılmamıştır. Çünkü tamamen yasaldır ve sadece </w:t>
      </w:r>
      <w:r>
        <w:rPr>
          <w:rFonts w:ascii="Arial Narrow" w:hAnsi="Arial Narrow"/>
          <w:color w:val="000000" w:themeColor="text1"/>
          <w:sz w:val="23"/>
          <w:szCs w:val="23"/>
        </w:rPr>
        <w:t>Cemaat</w:t>
      </w:r>
      <w:r w:rsidRPr="00FA4B62">
        <w:rPr>
          <w:rFonts w:ascii="Arial Narrow" w:hAnsi="Arial Narrow"/>
          <w:color w:val="000000" w:themeColor="text1"/>
          <w:sz w:val="23"/>
          <w:szCs w:val="23"/>
        </w:rPr>
        <w:t xml:space="preserve"> mensuplarına özgü faaliyetler de değildir. AKP ve önceki iktidarların da teşvik ettiği, içerisinde bulunduğu faaliyetlerdir.</w:t>
      </w:r>
    </w:p>
    <w:p w14:paraId="520F7827" w14:textId="77777777" w:rsidR="008C311B" w:rsidRPr="00FA4B62" w:rsidRDefault="008C311B" w:rsidP="00173FA0">
      <w:pPr>
        <w:spacing w:after="120"/>
        <w:jc w:val="both"/>
        <w:rPr>
          <w:rFonts w:ascii="Arial Narrow" w:hAnsi="Arial Narrow"/>
          <w:color w:val="000000" w:themeColor="text1"/>
          <w:sz w:val="23"/>
          <w:szCs w:val="23"/>
        </w:rPr>
      </w:pPr>
      <w:r w:rsidRPr="00FA4B62">
        <w:rPr>
          <w:rFonts w:ascii="Arial Narrow" w:hAnsi="Arial Narrow"/>
          <w:color w:val="000000" w:themeColor="text1"/>
          <w:sz w:val="23"/>
          <w:szCs w:val="23"/>
        </w:rPr>
        <w:t>İkincisi, söz konusu eylem ve faaliyetler AİHS'de korunan hakların kullanımı niteliğindedir. Özel ve aile hayatının gizliliği, haberleşmenin gizliliği, düşünce, vicdan ve din özgürlüğü, ifade özgürlüğü, toplantı ve demek/sendika kurma özgürlüğü, basın, medya ve internet özgürlüğü, kişisel verilerin korunması hakkı gibi.. Aynıca işlendiği tarihte ve halen hiçbir suç unsuru taşımayan, tümüyle yasal nitelikteki bu eylemler Sözleşme'nin olağanüstü hallerde bile dokunulmaz alan kabul ettiği "kanunsuz ceza olmaz" ilkesinin koruması altındadır.</w:t>
      </w:r>
    </w:p>
    <w:p w14:paraId="36814B82" w14:textId="77777777" w:rsidR="008C311B" w:rsidRDefault="008C311B" w:rsidP="00173FA0">
      <w:pPr>
        <w:spacing w:after="120"/>
        <w:jc w:val="both"/>
        <w:rPr>
          <w:rFonts w:ascii="Arial Narrow" w:hAnsi="Arial Narrow"/>
          <w:color w:val="000000" w:themeColor="text1"/>
          <w:sz w:val="23"/>
          <w:szCs w:val="23"/>
        </w:rPr>
      </w:pPr>
      <w:r w:rsidRPr="00FA4B62">
        <w:rPr>
          <w:rFonts w:ascii="Arial Narrow" w:hAnsi="Arial Narrow"/>
          <w:color w:val="000000" w:themeColor="text1"/>
          <w:sz w:val="23"/>
          <w:szCs w:val="23"/>
        </w:rPr>
        <w:t>Üçüncüsü, yapılan suçlamanın zamanlaması hukuka aykınlığı ve keyfiliği ele vermektedir. Atılı eylemler ile tutuklama ve sair tedbir kararlarının verilmesi arasında uzun yıllar geçtiği görülmektedir. Örneğin Bank Asya'nın faaliyet izni 15 Temmuz'dan sonra kaldırılmıştır ve bu tarihe kadar bu bankaya para yatırdığından bahisle hiç kimse suçlanmamıştır. 15 Temmuz'a kadar Gülen Hareketi okullarında çalıştığı için kimseye dava açılmamıştır ve hatta devlet 15 Temmuz'a kadar bu okullara teşvik vermeye devam etmiştir."</w:t>
      </w:r>
    </w:p>
    <w:p w14:paraId="193A7DD1" w14:textId="77777777" w:rsidR="008C311B" w:rsidRPr="00FA4B62" w:rsidRDefault="008C311B" w:rsidP="00173FA0">
      <w:pPr>
        <w:spacing w:after="120"/>
        <w:jc w:val="both"/>
        <w:rPr>
          <w:rFonts w:ascii="Arial Narrow" w:hAnsi="Arial Narrow"/>
          <w:color w:val="000000" w:themeColor="text1"/>
          <w:sz w:val="23"/>
          <w:szCs w:val="23"/>
        </w:rPr>
      </w:pPr>
      <w:r w:rsidRPr="00FA4B62">
        <w:rPr>
          <w:rFonts w:ascii="Arial Narrow" w:hAnsi="Arial Narrow"/>
          <w:color w:val="000000" w:themeColor="text1"/>
          <w:sz w:val="23"/>
          <w:szCs w:val="23"/>
        </w:rPr>
        <w:lastRenderedPageBreak/>
        <w:t>Yine ByLock, Mart 2014-Ocak 2016 tarihlerinde kullanımda olduğu sırada yasaldır ve suç konusu yapılmamıştır. Dini sohbetlere katılma ve sair faaliyetlerin tümü de böyledir. Bu eylemlerin gerçekleştirildiği tarihte mevcut ve önceki iktidarlar dahil toplumun her kesimi bu yapıyı "Cemaat, Hizmet Hareketi" olarak tanımakta ve destek olmaktadır. Nitekim Avrupa Konseyi İnsan Hakları Komiseri Memorandumunda buna işaret edilerek; "Bir Türk vatandaşı için, hayatının herhangi bir aşamasında Gülen Hareketi ile şu ya da bu şekilde iletişime geçmiş olmaması veya ilişki kurmamış olması son derece istisnai bir durumdur. (CommDH(2016)35, 7 October 2016.p.4.)" denilmektedir.</w:t>
      </w:r>
    </w:p>
    <w:p w14:paraId="73F96841" w14:textId="77777777" w:rsidR="008C311B" w:rsidRPr="00FA4B62" w:rsidRDefault="008C311B" w:rsidP="00173FA0">
      <w:pPr>
        <w:spacing w:after="120"/>
        <w:jc w:val="both"/>
        <w:rPr>
          <w:rFonts w:ascii="Arial Narrow" w:hAnsi="Arial Narrow"/>
          <w:color w:val="000000" w:themeColor="text1"/>
          <w:sz w:val="23"/>
          <w:szCs w:val="23"/>
        </w:rPr>
      </w:pPr>
      <w:r>
        <w:rPr>
          <w:rFonts w:ascii="Arial Narrow" w:hAnsi="Arial Narrow"/>
          <w:color w:val="000000" w:themeColor="text1"/>
          <w:sz w:val="23"/>
          <w:szCs w:val="23"/>
        </w:rPr>
        <w:t>Cemaat</w:t>
      </w:r>
      <w:r w:rsidRPr="00FA4B62">
        <w:rPr>
          <w:rFonts w:ascii="Arial Narrow" w:hAnsi="Arial Narrow"/>
          <w:color w:val="000000" w:themeColor="text1"/>
          <w:sz w:val="23"/>
          <w:szCs w:val="23"/>
        </w:rPr>
        <w:t xml:space="preserve"> </w:t>
      </w:r>
      <w:r>
        <w:rPr>
          <w:rFonts w:ascii="Arial Narrow" w:hAnsi="Arial Narrow"/>
          <w:color w:val="000000" w:themeColor="text1"/>
          <w:sz w:val="23"/>
          <w:szCs w:val="23"/>
        </w:rPr>
        <w:t xml:space="preserve">mensupları, </w:t>
      </w:r>
      <w:r w:rsidRPr="00FA4B62">
        <w:rPr>
          <w:rFonts w:ascii="Arial Narrow" w:hAnsi="Arial Narrow"/>
          <w:color w:val="000000" w:themeColor="text1"/>
          <w:sz w:val="23"/>
          <w:szCs w:val="23"/>
        </w:rPr>
        <w:t>Cumhurbaşkanı Erdoğan, AKP Hükümeti, yandaş medya ve üst düzey devlet yetkilileri tarafından hedef gösterilmiştir. "Hedef gösterici" söylemler konusunda AİHM kararlarına yansıyanlardan kat be kat fazlası, yüzlerce bilgi ve belge ortaya konabilir. Olayın kısa özeti ile birlikte bunlardan bazıları şöyledir.</w:t>
      </w:r>
    </w:p>
    <w:p w14:paraId="422181B2" w14:textId="77777777" w:rsidR="008C311B" w:rsidRPr="00FA4B62" w:rsidRDefault="008C311B" w:rsidP="00173FA0">
      <w:pPr>
        <w:spacing w:after="120"/>
        <w:jc w:val="both"/>
        <w:rPr>
          <w:rFonts w:ascii="Arial Narrow" w:hAnsi="Arial Narrow"/>
          <w:color w:val="000000" w:themeColor="text1"/>
          <w:sz w:val="23"/>
          <w:szCs w:val="23"/>
        </w:rPr>
      </w:pPr>
      <w:r w:rsidRPr="00FA4B62">
        <w:rPr>
          <w:rFonts w:ascii="Arial Narrow" w:hAnsi="Arial Narrow"/>
          <w:color w:val="000000" w:themeColor="text1"/>
          <w:sz w:val="23"/>
          <w:szCs w:val="23"/>
        </w:rPr>
        <w:t xml:space="preserve">Cumhurbaşkanı Erdoğan ve AKP Hükümeti 17-25 Aralık 2013 tarihli yolsuzluk ve rüşvet operasyonlarını "Hükümete karşı darbe" olarak niteleyerek bu operasyonlardan </w:t>
      </w:r>
      <w:r>
        <w:rPr>
          <w:rFonts w:ascii="Arial Narrow" w:hAnsi="Arial Narrow"/>
          <w:color w:val="000000" w:themeColor="text1"/>
          <w:sz w:val="23"/>
          <w:szCs w:val="23"/>
        </w:rPr>
        <w:t>Cemaati</w:t>
      </w:r>
      <w:r w:rsidRPr="00FA4B62">
        <w:rPr>
          <w:rFonts w:ascii="Arial Narrow" w:hAnsi="Arial Narrow"/>
          <w:color w:val="000000" w:themeColor="text1"/>
          <w:sz w:val="23"/>
          <w:szCs w:val="23"/>
        </w:rPr>
        <w:t xml:space="preserve"> sorumlu tuttu ve uzun yıllar boyunca "Gülen Cemaati, Camia, Hizmet Hareketi" şeklinde bir sivil toplum örgütü olarak kabul ettiği, faaliyetlerini alkışladığı ve desteklediği </w:t>
      </w:r>
      <w:r>
        <w:rPr>
          <w:rFonts w:ascii="Arial Narrow" w:hAnsi="Arial Narrow"/>
          <w:color w:val="000000" w:themeColor="text1"/>
          <w:sz w:val="23"/>
          <w:szCs w:val="23"/>
        </w:rPr>
        <w:t>Cemaati</w:t>
      </w:r>
      <w:r w:rsidRPr="00FA4B62">
        <w:rPr>
          <w:rFonts w:ascii="Arial Narrow" w:hAnsi="Arial Narrow"/>
          <w:color w:val="000000" w:themeColor="text1"/>
          <w:sz w:val="23"/>
          <w:szCs w:val="23"/>
        </w:rPr>
        <w:t xml:space="preserve"> 17-25 Aralık operasyonlarından sonra "paralel yapı", "hain", "ajan", "haşhaşi" gibi söylemlerle “düşman" ilan etti. </w:t>
      </w:r>
      <w:r>
        <w:rPr>
          <w:rFonts w:ascii="Arial Narrow" w:hAnsi="Arial Narrow"/>
          <w:color w:val="000000" w:themeColor="text1"/>
          <w:sz w:val="23"/>
          <w:szCs w:val="23"/>
        </w:rPr>
        <w:t>Cemaat</w:t>
      </w:r>
      <w:r w:rsidRPr="00FA4B62">
        <w:rPr>
          <w:rFonts w:ascii="Arial Narrow" w:hAnsi="Arial Narrow"/>
          <w:color w:val="000000" w:themeColor="text1"/>
          <w:sz w:val="23"/>
          <w:szCs w:val="23"/>
        </w:rPr>
        <w:t xml:space="preserve"> 17-25 Aralık soruşturmaları sonrasında aşama aşama "ötekileştirilerek", Hükümet emrindeki "Devlet olanakları" ve "medya gücü" kullanılmak sureti ile, "şüpheli", "tehlikeli”, “düşman” gösterilerek "terörist bir yapı" olarak ilan edilmeye başlanıldı. 17-25 Aralık 2013'ten sonra Erdoğan ve AKP Hükümetinin gerek yurt içinde gerekse yurt dışındaki en büyük hedefi </w:t>
      </w:r>
      <w:r>
        <w:rPr>
          <w:rFonts w:ascii="Arial Narrow" w:hAnsi="Arial Narrow"/>
          <w:color w:val="000000" w:themeColor="text1"/>
          <w:sz w:val="23"/>
          <w:szCs w:val="23"/>
        </w:rPr>
        <w:t>Cemaat</w:t>
      </w:r>
      <w:r w:rsidRPr="00FA4B62">
        <w:rPr>
          <w:rFonts w:ascii="Arial Narrow" w:hAnsi="Arial Narrow"/>
          <w:color w:val="000000" w:themeColor="text1"/>
          <w:sz w:val="23"/>
          <w:szCs w:val="23"/>
        </w:rPr>
        <w:t>i bitirmek oldu. Erdoğan bu hedefi "istiklal mücadelesi olarak ilan etti ve hesap soracaklarını söyledi. Erdoğan'ın bu konudaki en büyük silahı ise "yargı" olacaktı.</w:t>
      </w:r>
    </w:p>
    <w:p w14:paraId="1A795BB7" w14:textId="77777777" w:rsidR="008C311B" w:rsidRPr="00FA4B62" w:rsidRDefault="008C311B" w:rsidP="00173FA0">
      <w:pPr>
        <w:spacing w:after="120"/>
        <w:jc w:val="both"/>
        <w:rPr>
          <w:rFonts w:ascii="Arial Narrow" w:hAnsi="Arial Narrow"/>
          <w:color w:val="000000" w:themeColor="text1"/>
          <w:sz w:val="23"/>
          <w:szCs w:val="23"/>
        </w:rPr>
      </w:pPr>
      <w:r>
        <w:rPr>
          <w:rFonts w:ascii="Arial Narrow" w:hAnsi="Arial Narrow"/>
          <w:color w:val="000000" w:themeColor="text1"/>
          <w:sz w:val="23"/>
          <w:szCs w:val="23"/>
        </w:rPr>
        <w:t>Cemaat</w:t>
      </w:r>
      <w:r w:rsidRPr="00FA4B62">
        <w:rPr>
          <w:rFonts w:ascii="Arial Narrow" w:hAnsi="Arial Narrow"/>
          <w:color w:val="000000" w:themeColor="text1"/>
          <w:sz w:val="23"/>
          <w:szCs w:val="23"/>
        </w:rPr>
        <w:t xml:space="preserve"> mensuplarına yargı yoluyla yapılan hak kısıtlamalarının "gizli amaç" taşıyıp taşımadığını belirleyebilmek için bu konudaki söylem ve eylemlere de bakmak gerekiyor. 17-25 Aralık 2013 sonrasında </w:t>
      </w:r>
      <w:r>
        <w:rPr>
          <w:rFonts w:ascii="Arial Narrow" w:hAnsi="Arial Narrow"/>
          <w:color w:val="000000" w:themeColor="text1"/>
          <w:sz w:val="23"/>
          <w:szCs w:val="23"/>
        </w:rPr>
        <w:t>Cemaat</w:t>
      </w:r>
      <w:r w:rsidRPr="00FA4B62">
        <w:rPr>
          <w:rFonts w:ascii="Arial Narrow" w:hAnsi="Arial Narrow"/>
          <w:color w:val="000000" w:themeColor="text1"/>
          <w:sz w:val="23"/>
          <w:szCs w:val="23"/>
        </w:rPr>
        <w:t xml:space="preserve"> mensuplarını ötekileştirme, düşmanlaştırma, hedefe koyma, hesap sorma, kin, nefret, intikamla hareket etme, planlı ve sistemli bir şekilde yargıyı kullanarak haklarını sınırlama ve yok etme amacını ortaya koyan söylemlerden bazıları özetle şöyledir.</w:t>
      </w:r>
    </w:p>
    <w:p w14:paraId="3CC02AFC" w14:textId="77777777" w:rsidR="008C311B" w:rsidRPr="00FA4B62" w:rsidRDefault="008C311B" w:rsidP="00173FA0">
      <w:pPr>
        <w:spacing w:after="120"/>
        <w:jc w:val="both"/>
        <w:rPr>
          <w:rFonts w:ascii="Arial Narrow" w:hAnsi="Arial Narrow"/>
          <w:color w:val="000000" w:themeColor="text1"/>
          <w:sz w:val="23"/>
          <w:szCs w:val="23"/>
        </w:rPr>
      </w:pPr>
      <w:r>
        <w:rPr>
          <w:rFonts w:ascii="Arial Narrow" w:hAnsi="Arial Narrow"/>
          <w:color w:val="000000" w:themeColor="text1"/>
          <w:sz w:val="23"/>
          <w:szCs w:val="23"/>
        </w:rPr>
        <w:t>-</w:t>
      </w:r>
      <w:r w:rsidRPr="00FA4B62">
        <w:rPr>
          <w:rFonts w:ascii="Arial Narrow" w:hAnsi="Arial Narrow"/>
          <w:color w:val="000000" w:themeColor="text1"/>
          <w:sz w:val="23"/>
          <w:szCs w:val="23"/>
        </w:rPr>
        <w:t>Erdoğan (21.12.2013): "Bu ihanetin (17 Aralık'ın) hesabını yargı yoluyla soracağız</w:t>
      </w:r>
    </w:p>
    <w:p w14:paraId="333DE588" w14:textId="77777777" w:rsidR="008C311B" w:rsidRDefault="008C311B" w:rsidP="00173FA0">
      <w:pPr>
        <w:spacing w:after="120"/>
        <w:jc w:val="both"/>
        <w:rPr>
          <w:rFonts w:ascii="Arial Narrow" w:hAnsi="Arial Narrow"/>
          <w:color w:val="000000" w:themeColor="text1"/>
          <w:sz w:val="23"/>
          <w:szCs w:val="23"/>
        </w:rPr>
      </w:pPr>
      <w:r>
        <w:rPr>
          <w:rFonts w:ascii="Arial Narrow" w:hAnsi="Arial Narrow"/>
          <w:color w:val="000000" w:themeColor="text1"/>
          <w:sz w:val="23"/>
          <w:szCs w:val="23"/>
        </w:rPr>
        <w:t>-</w:t>
      </w:r>
      <w:r w:rsidRPr="00FA4B62">
        <w:rPr>
          <w:rFonts w:ascii="Arial Narrow" w:hAnsi="Arial Narrow"/>
          <w:color w:val="000000" w:themeColor="text1"/>
          <w:sz w:val="23"/>
          <w:szCs w:val="23"/>
        </w:rPr>
        <w:t>Erdoğan (25.02.2014): "Bu bir istiklal mücadelesidir. Bu darbe girişimi (17 Aralık) hesapsız kalmaz, kalmayacak. Önce millet sonra yargı bu darbe girişiminin hesabını soracaktır. Bu paralel örgütün paralel yapının bütün rezilliklerini tek tek ortaya dökecek, bunları da bunlarla birlikte yürüyenleri de sokağa çıkamayacak kadar mahkum hale getireceğiz."</w:t>
      </w:r>
    </w:p>
    <w:p w14:paraId="689B6008" w14:textId="77777777" w:rsidR="008C311B" w:rsidRPr="00FA4B62" w:rsidRDefault="008C311B" w:rsidP="00173FA0">
      <w:pPr>
        <w:spacing w:after="120"/>
        <w:jc w:val="both"/>
        <w:rPr>
          <w:rFonts w:ascii="Arial Narrow" w:hAnsi="Arial Narrow"/>
          <w:color w:val="000000" w:themeColor="text1"/>
          <w:sz w:val="23"/>
          <w:szCs w:val="23"/>
        </w:rPr>
      </w:pPr>
      <w:r>
        <w:rPr>
          <w:rFonts w:ascii="Arial Narrow" w:hAnsi="Arial Narrow"/>
          <w:color w:val="000000" w:themeColor="text1"/>
          <w:sz w:val="23"/>
          <w:szCs w:val="23"/>
        </w:rPr>
        <w:t>-</w:t>
      </w:r>
      <w:r w:rsidRPr="00FA4B62">
        <w:rPr>
          <w:rFonts w:ascii="Arial Narrow" w:hAnsi="Arial Narrow"/>
          <w:color w:val="000000" w:themeColor="text1"/>
          <w:sz w:val="23"/>
          <w:szCs w:val="23"/>
        </w:rPr>
        <w:t>Erdoğan (16.03.2014): "17 Aralık, 25 Aralık iyi ki oldu. Bunların yüzleri ortaya çıktı. Bütün ekiplerimizle bunları izliyoruz, kovalıyoruz, gereğini de vakti geldiğinde yapacağız. Türkiye Cumhuriyeti'ne karşı bu isyanı yapanlara en büyük dersi vereceğiz."</w:t>
      </w:r>
    </w:p>
    <w:p w14:paraId="2BBFF3A4" w14:textId="77777777" w:rsidR="008C311B" w:rsidRPr="00FA4B62" w:rsidRDefault="008C311B" w:rsidP="00173FA0">
      <w:pPr>
        <w:spacing w:after="120"/>
        <w:jc w:val="both"/>
        <w:rPr>
          <w:rFonts w:ascii="Arial Narrow" w:hAnsi="Arial Narrow"/>
          <w:color w:val="000000" w:themeColor="text1"/>
          <w:sz w:val="23"/>
          <w:szCs w:val="23"/>
        </w:rPr>
      </w:pPr>
      <w:r>
        <w:rPr>
          <w:rFonts w:ascii="Arial Narrow" w:hAnsi="Arial Narrow"/>
          <w:color w:val="000000" w:themeColor="text1"/>
          <w:sz w:val="23"/>
          <w:szCs w:val="23"/>
        </w:rPr>
        <w:t>-</w:t>
      </w:r>
      <w:r w:rsidRPr="00FA4B62">
        <w:rPr>
          <w:rFonts w:ascii="Arial Narrow" w:hAnsi="Arial Narrow"/>
          <w:color w:val="000000" w:themeColor="text1"/>
          <w:sz w:val="23"/>
          <w:szCs w:val="23"/>
        </w:rPr>
        <w:t>Erdoğan (30.03.2014): "Hesabını bunun ödeyecekler bedelini ödeyecekler....Bunlar başhaşilere rahmet okutur. Haşhaşiler bunların yanında hiç.</w:t>
      </w:r>
    </w:p>
    <w:p w14:paraId="7DF2A128" w14:textId="77777777" w:rsidR="008C311B" w:rsidRPr="00FA4B62" w:rsidRDefault="008C311B" w:rsidP="00173FA0">
      <w:pPr>
        <w:spacing w:after="120"/>
        <w:jc w:val="both"/>
        <w:rPr>
          <w:rFonts w:ascii="Arial Narrow" w:hAnsi="Arial Narrow"/>
          <w:color w:val="000000" w:themeColor="text1"/>
          <w:sz w:val="23"/>
          <w:szCs w:val="23"/>
        </w:rPr>
      </w:pPr>
      <w:r>
        <w:rPr>
          <w:rFonts w:ascii="Arial Narrow" w:hAnsi="Arial Narrow"/>
          <w:color w:val="000000" w:themeColor="text1"/>
          <w:sz w:val="23"/>
          <w:szCs w:val="23"/>
        </w:rPr>
        <w:t>-</w:t>
      </w:r>
      <w:r w:rsidRPr="00FA4B62">
        <w:rPr>
          <w:rFonts w:ascii="Arial Narrow" w:hAnsi="Arial Narrow"/>
          <w:color w:val="000000" w:themeColor="text1"/>
          <w:sz w:val="23"/>
          <w:szCs w:val="23"/>
        </w:rPr>
        <w:t>Erdoğan (11.05.2014): "Paralel yapıyla mücadelenin bir cadı avına dönüşmesini ikide bir konuşuyorlar. Bu ülkeye ihanet edenlerin görevlerini değiştirmek cadı avıysa, biz bu cadı avını yapacağız, bunu da bilin. Bu işin mücadelesi sıradan bir mücadele değil. Bu konuda nerede kim neler yapıyorsa bunları bize bildireceksiniz. Bütün vatandaşlarıma söylüyorum bildireceksiniz gereğini yapalım. Nefes aldığım sürece unutmayacak ve affetmeyeceğim.</w:t>
      </w:r>
    </w:p>
    <w:p w14:paraId="601D7FC7" w14:textId="77777777" w:rsidR="008C311B" w:rsidRPr="00FA4B62" w:rsidRDefault="008C311B" w:rsidP="00173FA0">
      <w:pPr>
        <w:spacing w:after="120"/>
        <w:jc w:val="both"/>
        <w:rPr>
          <w:rFonts w:ascii="Arial Narrow" w:hAnsi="Arial Narrow"/>
          <w:color w:val="000000" w:themeColor="text1"/>
          <w:sz w:val="23"/>
          <w:szCs w:val="23"/>
        </w:rPr>
      </w:pPr>
      <w:r>
        <w:rPr>
          <w:rFonts w:ascii="Arial Narrow" w:hAnsi="Arial Narrow"/>
          <w:color w:val="000000" w:themeColor="text1"/>
          <w:sz w:val="23"/>
          <w:szCs w:val="23"/>
        </w:rPr>
        <w:t>-</w:t>
      </w:r>
      <w:r w:rsidRPr="00FA4B62">
        <w:rPr>
          <w:rFonts w:ascii="Arial Narrow" w:hAnsi="Arial Narrow"/>
          <w:color w:val="000000" w:themeColor="text1"/>
          <w:sz w:val="23"/>
          <w:szCs w:val="23"/>
        </w:rPr>
        <w:t xml:space="preserve">Erdoğan (10.06.2014): "(17 ve 25 Aralık soruşturmalan) Bu ve buna benzer girişimlerin hesabı sorulacak. Bu operasyonların yolsuzlukla alakası yoktu. Amaç hükümeti yıpratmak devirmek, mahkemelerde yargılamak ve mahkum etmekti. Gerek gezi olaylarında gerek 17-25 Aralık operasyonlarında Türkiye çok büyük bir tehlikeyi </w:t>
      </w:r>
      <w:r w:rsidRPr="00FA4B62">
        <w:rPr>
          <w:rFonts w:ascii="Arial Narrow" w:hAnsi="Arial Narrow"/>
          <w:color w:val="000000" w:themeColor="text1"/>
          <w:sz w:val="23"/>
          <w:szCs w:val="23"/>
        </w:rPr>
        <w:lastRenderedPageBreak/>
        <w:t>atlattı. Türkiye uçurumun kenarından döndü. Bu saldırılar karşısında öfkeli olmayacağız da ne yapacağız? Sanmayın ki bu yandallar karşısında yumuşak olursanız geri adım atarlar. Öfkemizi de asla onlardan asla sakınmayız.”</w:t>
      </w:r>
    </w:p>
    <w:p w14:paraId="66BBE60F" w14:textId="77777777" w:rsidR="008C311B" w:rsidRPr="00FA4B62" w:rsidRDefault="008C311B" w:rsidP="00173FA0">
      <w:pPr>
        <w:spacing w:after="120"/>
        <w:jc w:val="both"/>
        <w:rPr>
          <w:rFonts w:ascii="Arial Narrow" w:hAnsi="Arial Narrow"/>
          <w:color w:val="000000" w:themeColor="text1"/>
          <w:sz w:val="23"/>
          <w:szCs w:val="23"/>
        </w:rPr>
      </w:pPr>
      <w:r>
        <w:rPr>
          <w:rFonts w:ascii="Arial Narrow" w:hAnsi="Arial Narrow"/>
          <w:color w:val="000000" w:themeColor="text1"/>
          <w:sz w:val="23"/>
          <w:szCs w:val="23"/>
        </w:rPr>
        <w:t>-</w:t>
      </w:r>
      <w:r w:rsidRPr="00FA4B62">
        <w:rPr>
          <w:rFonts w:ascii="Arial Narrow" w:hAnsi="Arial Narrow"/>
          <w:color w:val="000000" w:themeColor="text1"/>
          <w:sz w:val="23"/>
          <w:szCs w:val="23"/>
        </w:rPr>
        <w:t>Erdoğan (30.06.2014): "Bu hainler başarılı olmadılar, olamayacaklar. Karşılarında nasıl bir iradenin var olduğunun farkında değiller."</w:t>
      </w:r>
    </w:p>
    <w:p w14:paraId="5175B573" w14:textId="77777777" w:rsidR="008C311B" w:rsidRPr="00FA4B62" w:rsidRDefault="008C311B" w:rsidP="00173FA0">
      <w:pPr>
        <w:spacing w:after="120"/>
        <w:jc w:val="both"/>
        <w:rPr>
          <w:rFonts w:ascii="Arial Narrow" w:hAnsi="Arial Narrow"/>
          <w:color w:val="000000" w:themeColor="text1"/>
          <w:sz w:val="23"/>
          <w:szCs w:val="23"/>
        </w:rPr>
      </w:pPr>
      <w:r>
        <w:rPr>
          <w:rFonts w:ascii="Arial Narrow" w:hAnsi="Arial Narrow"/>
          <w:color w:val="000000" w:themeColor="text1"/>
          <w:sz w:val="23"/>
          <w:szCs w:val="23"/>
        </w:rPr>
        <w:t>-</w:t>
      </w:r>
      <w:r w:rsidRPr="00FA4B62">
        <w:rPr>
          <w:rFonts w:ascii="Arial Narrow" w:hAnsi="Arial Narrow"/>
          <w:color w:val="000000" w:themeColor="text1"/>
          <w:sz w:val="23"/>
          <w:szCs w:val="23"/>
        </w:rPr>
        <w:t>Erdoğan (23.07.2014): "Devlet bunu hesabını sorar ve soruyor. Mesele Türkiye meselesidir. Gezi olaylarım 17-25 Aralık operasyonlarını neden yaptılar. İsrail'in bekçisi olmayı reddeden, Gazze meselesine sesini yükselten hükümeti susturmak için yaptılar.”</w:t>
      </w:r>
    </w:p>
    <w:p w14:paraId="2BBEDB1D" w14:textId="77777777" w:rsidR="008C311B" w:rsidRPr="00FA4B62" w:rsidRDefault="008C311B" w:rsidP="00173FA0">
      <w:pPr>
        <w:spacing w:after="120"/>
        <w:jc w:val="both"/>
        <w:rPr>
          <w:rFonts w:ascii="Arial Narrow" w:hAnsi="Arial Narrow"/>
          <w:color w:val="000000" w:themeColor="text1"/>
          <w:sz w:val="23"/>
          <w:szCs w:val="23"/>
        </w:rPr>
      </w:pPr>
      <w:r>
        <w:rPr>
          <w:rFonts w:ascii="Arial Narrow" w:hAnsi="Arial Narrow"/>
          <w:color w:val="000000" w:themeColor="text1"/>
          <w:sz w:val="23"/>
          <w:szCs w:val="23"/>
        </w:rPr>
        <w:t>-</w:t>
      </w:r>
      <w:r w:rsidRPr="00FA4B62">
        <w:rPr>
          <w:rFonts w:ascii="Arial Narrow" w:hAnsi="Arial Narrow"/>
          <w:color w:val="000000" w:themeColor="text1"/>
          <w:sz w:val="23"/>
          <w:szCs w:val="23"/>
        </w:rPr>
        <w:t>Erdoğan (28.07.2014): "İnine girdik ve girmeye de devam edeceğiz. Bu can bu tende oldukça, bu mücadele devam edecektir."</w:t>
      </w:r>
    </w:p>
    <w:p w14:paraId="53E8B54F" w14:textId="77777777" w:rsidR="008C311B" w:rsidRPr="00FA4B62" w:rsidRDefault="008C311B" w:rsidP="00173FA0">
      <w:pPr>
        <w:spacing w:after="120"/>
        <w:jc w:val="both"/>
        <w:rPr>
          <w:rFonts w:ascii="Arial Narrow" w:hAnsi="Arial Narrow"/>
          <w:color w:val="000000" w:themeColor="text1"/>
          <w:sz w:val="23"/>
          <w:szCs w:val="23"/>
        </w:rPr>
      </w:pPr>
      <w:r>
        <w:rPr>
          <w:rFonts w:ascii="Arial Narrow" w:hAnsi="Arial Narrow"/>
          <w:color w:val="000000" w:themeColor="text1"/>
          <w:sz w:val="23"/>
          <w:szCs w:val="23"/>
        </w:rPr>
        <w:t>-</w:t>
      </w:r>
      <w:r w:rsidRPr="00FA4B62">
        <w:rPr>
          <w:rFonts w:ascii="Arial Narrow" w:hAnsi="Arial Narrow"/>
          <w:color w:val="000000" w:themeColor="text1"/>
          <w:sz w:val="23"/>
          <w:szCs w:val="23"/>
        </w:rPr>
        <w:t>Erdoğan (07.02.2015): "Türkiye'yi bu çeteden, bu musibetten, bu kanser hücrelerinden temizlemekte kararlıyız. "Yaptıkları hainliklerin hesabını verecekler</w:t>
      </w:r>
    </w:p>
    <w:p w14:paraId="2180865F" w14:textId="77777777" w:rsidR="008C311B" w:rsidRPr="00FA4B62" w:rsidRDefault="008C311B" w:rsidP="00173FA0">
      <w:pPr>
        <w:spacing w:after="120"/>
        <w:jc w:val="both"/>
        <w:rPr>
          <w:rFonts w:ascii="Arial Narrow" w:hAnsi="Arial Narrow"/>
          <w:color w:val="000000" w:themeColor="text1"/>
          <w:sz w:val="23"/>
          <w:szCs w:val="23"/>
        </w:rPr>
      </w:pPr>
      <w:r>
        <w:rPr>
          <w:rFonts w:ascii="Arial Narrow" w:hAnsi="Arial Narrow"/>
          <w:color w:val="000000" w:themeColor="text1"/>
          <w:sz w:val="23"/>
          <w:szCs w:val="23"/>
        </w:rPr>
        <w:t>-</w:t>
      </w:r>
      <w:r w:rsidRPr="00FA4B62">
        <w:rPr>
          <w:rFonts w:ascii="Arial Narrow" w:hAnsi="Arial Narrow"/>
          <w:color w:val="000000" w:themeColor="text1"/>
          <w:sz w:val="23"/>
          <w:szCs w:val="23"/>
        </w:rPr>
        <w:t>Erdoğan (28.04.2015): "Bu örgütün içinde yer alanların A'dan Z'ye bedelini ödemesi</w:t>
      </w:r>
      <w:r>
        <w:rPr>
          <w:rFonts w:ascii="Arial Narrow" w:hAnsi="Arial Narrow"/>
          <w:color w:val="000000" w:themeColor="text1"/>
          <w:sz w:val="23"/>
          <w:szCs w:val="23"/>
        </w:rPr>
        <w:t xml:space="preserve"> </w:t>
      </w:r>
      <w:r w:rsidRPr="00FA4B62">
        <w:rPr>
          <w:rFonts w:ascii="Arial Narrow" w:hAnsi="Arial Narrow"/>
          <w:color w:val="000000" w:themeColor="text1"/>
          <w:sz w:val="23"/>
          <w:szCs w:val="23"/>
        </w:rPr>
        <w:t>lazım."</w:t>
      </w:r>
    </w:p>
    <w:p w14:paraId="5AAFA8DA" w14:textId="77777777" w:rsidR="008C311B" w:rsidRDefault="008C311B" w:rsidP="00173FA0">
      <w:pPr>
        <w:spacing w:after="120"/>
        <w:jc w:val="both"/>
        <w:rPr>
          <w:rFonts w:ascii="Arial Narrow" w:hAnsi="Arial Narrow"/>
          <w:color w:val="000000" w:themeColor="text1"/>
          <w:sz w:val="23"/>
          <w:szCs w:val="23"/>
        </w:rPr>
      </w:pPr>
      <w:r>
        <w:rPr>
          <w:rFonts w:ascii="Arial Narrow" w:hAnsi="Arial Narrow"/>
          <w:color w:val="000000" w:themeColor="text1"/>
          <w:sz w:val="23"/>
          <w:szCs w:val="23"/>
        </w:rPr>
        <w:t>-</w:t>
      </w:r>
      <w:r w:rsidRPr="00FA4B62">
        <w:rPr>
          <w:rFonts w:ascii="Arial Narrow" w:hAnsi="Arial Narrow"/>
          <w:color w:val="000000" w:themeColor="text1"/>
          <w:sz w:val="23"/>
          <w:szCs w:val="23"/>
        </w:rPr>
        <w:t>Erdoğan (29.04.2015): “Bu yapının adamı olduğu tespit edilenler açığa alınacak. Ya bu devletin varlığını kabul edecekler ya yok olacaklar. MGK'dan sonra kararlarımız çok farklı devam edecek.</w:t>
      </w:r>
      <w:r>
        <w:rPr>
          <w:rFonts w:ascii="Arial Narrow" w:hAnsi="Arial Narrow"/>
          <w:color w:val="000000" w:themeColor="text1"/>
          <w:sz w:val="23"/>
          <w:szCs w:val="23"/>
        </w:rPr>
        <w:t>”</w:t>
      </w:r>
    </w:p>
    <w:p w14:paraId="1FED91D5" w14:textId="77777777" w:rsidR="008C311B" w:rsidRPr="00B916F8" w:rsidRDefault="008C311B" w:rsidP="00173FA0">
      <w:pPr>
        <w:spacing w:after="120"/>
        <w:jc w:val="both"/>
        <w:rPr>
          <w:rFonts w:ascii="Arial Narrow" w:hAnsi="Arial Narrow"/>
          <w:color w:val="000000" w:themeColor="text1"/>
          <w:sz w:val="23"/>
          <w:szCs w:val="23"/>
        </w:rPr>
      </w:pPr>
      <w:r>
        <w:rPr>
          <w:rFonts w:ascii="Arial Narrow" w:hAnsi="Arial Narrow"/>
          <w:color w:val="000000" w:themeColor="text1"/>
          <w:sz w:val="23"/>
          <w:szCs w:val="23"/>
        </w:rPr>
        <w:t>-</w:t>
      </w:r>
      <w:r w:rsidRPr="00B916F8">
        <w:rPr>
          <w:rFonts w:ascii="Arial Narrow" w:hAnsi="Arial Narrow"/>
          <w:color w:val="000000" w:themeColor="text1"/>
          <w:sz w:val="23"/>
          <w:szCs w:val="23"/>
        </w:rPr>
        <w:t>Ahmet Davutoğlu (27.04.2015): "Bütün bu paralel çeteye karşı ve onun desteklediği işbirlikçiliğe karşı milli irade seferberliği ilan ediyoruz."</w:t>
      </w:r>
    </w:p>
    <w:p w14:paraId="78005BA9" w14:textId="77777777" w:rsidR="008C311B" w:rsidRPr="00B916F8" w:rsidRDefault="008C311B" w:rsidP="00173FA0">
      <w:pPr>
        <w:spacing w:after="120"/>
        <w:jc w:val="both"/>
        <w:rPr>
          <w:rFonts w:ascii="Arial Narrow" w:hAnsi="Arial Narrow"/>
          <w:color w:val="000000" w:themeColor="text1"/>
          <w:sz w:val="23"/>
          <w:szCs w:val="23"/>
        </w:rPr>
      </w:pPr>
      <w:r w:rsidRPr="00B916F8">
        <w:rPr>
          <w:rFonts w:ascii="Arial Narrow" w:hAnsi="Arial Narrow"/>
          <w:color w:val="000000" w:themeColor="text1"/>
          <w:sz w:val="23"/>
          <w:szCs w:val="23"/>
        </w:rPr>
        <w:t xml:space="preserve">17-25 Aralık 2013'ten sonrasına ait bu konuşmalar ile 15 Temmuz 2016 sonrasında </w:t>
      </w:r>
      <w:r>
        <w:rPr>
          <w:rFonts w:ascii="Arial Narrow" w:hAnsi="Arial Narrow"/>
          <w:color w:val="000000" w:themeColor="text1"/>
          <w:sz w:val="23"/>
          <w:szCs w:val="23"/>
        </w:rPr>
        <w:t>Cemaat</w:t>
      </w:r>
      <w:r w:rsidRPr="00FA4B62">
        <w:rPr>
          <w:rFonts w:ascii="Arial Narrow" w:hAnsi="Arial Narrow"/>
          <w:color w:val="000000" w:themeColor="text1"/>
          <w:sz w:val="23"/>
          <w:szCs w:val="23"/>
        </w:rPr>
        <w:t xml:space="preserve"> </w:t>
      </w:r>
      <w:r w:rsidRPr="00B916F8">
        <w:rPr>
          <w:rFonts w:ascii="Arial Narrow" w:hAnsi="Arial Narrow"/>
          <w:color w:val="000000" w:themeColor="text1"/>
          <w:sz w:val="23"/>
          <w:szCs w:val="23"/>
        </w:rPr>
        <w:t>mensuplarına yöneltilen suç isnatlarının lafzı arasındaki bağlantılar kısıtlamaların "gizli amaç” taşıdığını göstermektedir. Siyasi iktidar 17-25 Aralık yolsuzluk soruşturmalarını "Hükümete karşı darbe" olarak nitelemiş, yıllar sonra açılan iddianamelerde şüphelilere aynı yönde suçlama yöneltilmiştir. Ocak-2014 tarihli MİT Turlan operasyonu ile ilgili olarak "...amaç Türkiye'ye terör örgütlerine yardım eden ülke iftirası atmaktı...Türkiye'yi uluslararası alanda zora sokmak için yaptılar." şeklindeki iddialar HSYK ihraç kararlarında iddianame ve yargı kararlarında aynen yer almıştır.</w:t>
      </w:r>
    </w:p>
    <w:p w14:paraId="40C966F1" w14:textId="77777777" w:rsidR="008C311B" w:rsidRDefault="008C311B" w:rsidP="00173FA0">
      <w:pPr>
        <w:spacing w:after="120"/>
        <w:jc w:val="both"/>
        <w:rPr>
          <w:rFonts w:ascii="Arial Narrow" w:hAnsi="Arial Narrow"/>
          <w:color w:val="000000" w:themeColor="text1"/>
          <w:sz w:val="23"/>
          <w:szCs w:val="23"/>
        </w:rPr>
      </w:pPr>
      <w:r w:rsidRPr="00B916F8">
        <w:rPr>
          <w:rFonts w:ascii="Arial Narrow" w:hAnsi="Arial Narrow"/>
          <w:color w:val="000000" w:themeColor="text1"/>
          <w:sz w:val="23"/>
          <w:szCs w:val="23"/>
        </w:rPr>
        <w:t xml:space="preserve">Hak sınırlamalanı için yargıya talimat verilmesi ve yargının buna uygun kararlar vermesine ilişkin çok sayıda örnek vardır. Erdoğan 2014 yılında Cumhurbaşkanlığı seçimi sonrasında </w:t>
      </w:r>
      <w:r>
        <w:rPr>
          <w:rFonts w:ascii="Arial Narrow" w:hAnsi="Arial Narrow"/>
          <w:color w:val="000000" w:themeColor="text1"/>
          <w:sz w:val="23"/>
          <w:szCs w:val="23"/>
        </w:rPr>
        <w:t>Cemaati</w:t>
      </w:r>
      <w:r w:rsidRPr="00FA4B62">
        <w:rPr>
          <w:rFonts w:ascii="Arial Narrow" w:hAnsi="Arial Narrow"/>
          <w:color w:val="000000" w:themeColor="text1"/>
          <w:sz w:val="23"/>
          <w:szCs w:val="23"/>
        </w:rPr>
        <w:t xml:space="preserve"> </w:t>
      </w:r>
      <w:r w:rsidRPr="00B916F8">
        <w:rPr>
          <w:rFonts w:ascii="Arial Narrow" w:hAnsi="Arial Narrow"/>
          <w:color w:val="000000" w:themeColor="text1"/>
          <w:sz w:val="23"/>
          <w:szCs w:val="23"/>
        </w:rPr>
        <w:t xml:space="preserve">Milli Güvenlik Siyaset Belgesi'ne(Kırmızı Kitap) "terör örgütü” olarak koyduracağını açıklamış, MGK'nın bu yöndeki toplantısından sonra 12.5.2015 tarihinde; "Yargı bundan sonra Kırmızı Kitaba göre karar verecek" demiş, sonrasında İstanbul'da baza Sulh Ceza Hakimlerinin tutuklama kararlarında Milli Güvenlik Siyaset Belgesine dayandıklanı görülmüştür. Ankara'da tutuklamaya sevk edilen 24 polisin serbest bırakılması (1.3.2015) üzerine Erdoğan: "Nasıl serbest kaldıklarına şaşıyorum." demiş, ardından HSYK ilgili hakimleri görevden almış, yeni atanan hakim polislere yakalama emri çıkarmıştır. </w:t>
      </w:r>
    </w:p>
    <w:p w14:paraId="097F11D5" w14:textId="77777777" w:rsidR="008C311B" w:rsidRPr="00B916F8" w:rsidRDefault="008C311B" w:rsidP="00173FA0">
      <w:pPr>
        <w:spacing w:after="120"/>
        <w:jc w:val="both"/>
        <w:rPr>
          <w:rFonts w:ascii="Arial Narrow" w:hAnsi="Arial Narrow"/>
          <w:color w:val="000000" w:themeColor="text1"/>
          <w:sz w:val="23"/>
          <w:szCs w:val="23"/>
        </w:rPr>
      </w:pPr>
      <w:r w:rsidRPr="00B916F8">
        <w:rPr>
          <w:rFonts w:ascii="Arial Narrow" w:hAnsi="Arial Narrow"/>
          <w:color w:val="000000" w:themeColor="text1"/>
          <w:sz w:val="23"/>
          <w:szCs w:val="23"/>
        </w:rPr>
        <w:t xml:space="preserve">İktidar yanlısı basın mensuplarının </w:t>
      </w:r>
      <w:r>
        <w:rPr>
          <w:rFonts w:ascii="Arial Narrow" w:hAnsi="Arial Narrow"/>
          <w:color w:val="000000" w:themeColor="text1"/>
          <w:sz w:val="23"/>
          <w:szCs w:val="23"/>
        </w:rPr>
        <w:t>Cemaat</w:t>
      </w:r>
      <w:r w:rsidRPr="00FA4B62">
        <w:rPr>
          <w:rFonts w:ascii="Arial Narrow" w:hAnsi="Arial Narrow"/>
          <w:color w:val="000000" w:themeColor="text1"/>
          <w:sz w:val="23"/>
          <w:szCs w:val="23"/>
        </w:rPr>
        <w:t xml:space="preserve"> </w:t>
      </w:r>
      <w:r w:rsidRPr="00B916F8">
        <w:rPr>
          <w:rFonts w:ascii="Arial Narrow" w:hAnsi="Arial Narrow"/>
          <w:color w:val="000000" w:themeColor="text1"/>
          <w:sz w:val="23"/>
          <w:szCs w:val="23"/>
        </w:rPr>
        <w:t xml:space="preserve">mensuplarının tutuklanması tahliye edilmemesi konusunda yargıya baskı yapmaları ve sonucunda verilen kararlan (Ek-15, § 58), bazı yandaş basın mensuplarının </w:t>
      </w:r>
      <w:r>
        <w:rPr>
          <w:rFonts w:ascii="Arial Narrow" w:hAnsi="Arial Narrow"/>
          <w:color w:val="000000" w:themeColor="text1"/>
          <w:sz w:val="23"/>
          <w:szCs w:val="23"/>
        </w:rPr>
        <w:t>Cemaat</w:t>
      </w:r>
      <w:r w:rsidRPr="00FA4B62">
        <w:rPr>
          <w:rFonts w:ascii="Arial Narrow" w:hAnsi="Arial Narrow"/>
          <w:color w:val="000000" w:themeColor="text1"/>
          <w:sz w:val="23"/>
          <w:szCs w:val="23"/>
        </w:rPr>
        <w:t xml:space="preserve"> </w:t>
      </w:r>
      <w:r w:rsidRPr="00B916F8">
        <w:rPr>
          <w:rFonts w:ascii="Arial Narrow" w:hAnsi="Arial Narrow"/>
          <w:color w:val="000000" w:themeColor="text1"/>
          <w:sz w:val="23"/>
          <w:szCs w:val="23"/>
        </w:rPr>
        <w:t>mensuplarına işkence yapılmasına, soykırım uygulanmasına yönelik istekleri de not edilmelidir.</w:t>
      </w:r>
    </w:p>
    <w:p w14:paraId="6ADBC988" w14:textId="77777777" w:rsidR="008C311B" w:rsidRPr="00B916F8" w:rsidRDefault="008C311B" w:rsidP="00173FA0">
      <w:pPr>
        <w:spacing w:after="120"/>
        <w:jc w:val="both"/>
        <w:rPr>
          <w:rFonts w:ascii="Arial Narrow" w:hAnsi="Arial Narrow"/>
          <w:color w:val="000000" w:themeColor="text1"/>
          <w:sz w:val="23"/>
          <w:szCs w:val="23"/>
        </w:rPr>
      </w:pPr>
      <w:r>
        <w:rPr>
          <w:rFonts w:ascii="Arial Narrow" w:hAnsi="Arial Narrow"/>
          <w:color w:val="000000" w:themeColor="text1"/>
          <w:sz w:val="23"/>
          <w:szCs w:val="23"/>
        </w:rPr>
        <w:t>Cemaat</w:t>
      </w:r>
      <w:r w:rsidRPr="00FA4B62">
        <w:rPr>
          <w:rFonts w:ascii="Arial Narrow" w:hAnsi="Arial Narrow"/>
          <w:color w:val="000000" w:themeColor="text1"/>
          <w:sz w:val="23"/>
          <w:szCs w:val="23"/>
        </w:rPr>
        <w:t xml:space="preserve"> </w:t>
      </w:r>
      <w:r w:rsidRPr="00B916F8">
        <w:rPr>
          <w:rFonts w:ascii="Arial Narrow" w:hAnsi="Arial Narrow"/>
          <w:color w:val="000000" w:themeColor="text1"/>
          <w:sz w:val="23"/>
          <w:szCs w:val="23"/>
        </w:rPr>
        <w:t>mensuplarına yönelik "gizli amacın" bir parçası olarak insan kaçırma, işkence ve öldürme olayları da unutulmamalıdır. Gözaltında işkenceyle veya cezaevinde tedavi ettirilmeyerek öldürülen, haksız soruşturma nedeniyle intihar eden veya ağır hastalığa yakalanıp ölenlerin sayısı 700'e yaklaşmış, 28 insan kaçırılmış, işkence yapılmıştır.</w:t>
      </w:r>
    </w:p>
    <w:p w14:paraId="0CCF463E" w14:textId="77777777" w:rsidR="008C311B" w:rsidRPr="00B916F8" w:rsidRDefault="008C311B" w:rsidP="00173FA0">
      <w:pPr>
        <w:spacing w:after="120"/>
        <w:jc w:val="both"/>
        <w:rPr>
          <w:rFonts w:ascii="Arial Narrow" w:hAnsi="Arial Narrow"/>
          <w:color w:val="000000" w:themeColor="text1"/>
          <w:sz w:val="23"/>
          <w:szCs w:val="23"/>
        </w:rPr>
      </w:pPr>
      <w:r>
        <w:rPr>
          <w:rFonts w:ascii="Arial Narrow" w:hAnsi="Arial Narrow"/>
          <w:color w:val="000000" w:themeColor="text1"/>
          <w:sz w:val="23"/>
          <w:szCs w:val="23"/>
        </w:rPr>
        <w:t>Cemaate</w:t>
      </w:r>
      <w:r w:rsidRPr="00FA4B62">
        <w:rPr>
          <w:rFonts w:ascii="Arial Narrow" w:hAnsi="Arial Narrow"/>
          <w:color w:val="000000" w:themeColor="text1"/>
          <w:sz w:val="23"/>
          <w:szCs w:val="23"/>
        </w:rPr>
        <w:t xml:space="preserve"> </w:t>
      </w:r>
      <w:r w:rsidRPr="00B916F8">
        <w:rPr>
          <w:rFonts w:ascii="Arial Narrow" w:hAnsi="Arial Narrow"/>
          <w:color w:val="000000" w:themeColor="text1"/>
          <w:sz w:val="23"/>
          <w:szCs w:val="23"/>
        </w:rPr>
        <w:t>yönelik “gizli amacın” bir parçası olarak yürütmenin yargıya tahakkümü, yargıyı ele geçirmesi ve muhalif kesimlere karşı silah olarak kullanmasına ilişkin söylemlerden bazıları şöyledir.</w:t>
      </w:r>
    </w:p>
    <w:p w14:paraId="06C6784B" w14:textId="77777777" w:rsidR="008C311B" w:rsidRDefault="008C311B" w:rsidP="00173FA0">
      <w:pPr>
        <w:spacing w:after="120"/>
        <w:jc w:val="both"/>
        <w:rPr>
          <w:rFonts w:ascii="Arial Narrow" w:hAnsi="Arial Narrow"/>
          <w:color w:val="000000" w:themeColor="text1"/>
          <w:sz w:val="23"/>
          <w:szCs w:val="23"/>
        </w:rPr>
      </w:pPr>
      <w:r>
        <w:rPr>
          <w:rFonts w:ascii="Arial Narrow" w:hAnsi="Arial Narrow"/>
          <w:color w:val="000000" w:themeColor="text1"/>
          <w:sz w:val="23"/>
          <w:szCs w:val="23"/>
        </w:rPr>
        <w:lastRenderedPageBreak/>
        <w:t>-</w:t>
      </w:r>
      <w:r w:rsidRPr="00B916F8">
        <w:rPr>
          <w:rFonts w:ascii="Arial Narrow" w:hAnsi="Arial Narrow"/>
          <w:color w:val="000000" w:themeColor="text1"/>
          <w:sz w:val="23"/>
          <w:szCs w:val="23"/>
        </w:rPr>
        <w:t>Erdoğan (21.12.2013): "Bu ihanetin (17 Aralık'ın) hesabını yargı yoluyla soracağız." Erdoğan (16.03.2014): "Bütün ekiplerimizle bunlanı izliyoruz, kovalıyoruz, gereğini de vakti geldiğinde yapacağız.</w:t>
      </w:r>
    </w:p>
    <w:p w14:paraId="07017877" w14:textId="77777777" w:rsidR="008C311B" w:rsidRPr="00B916F8" w:rsidRDefault="008C311B" w:rsidP="00173FA0">
      <w:pPr>
        <w:spacing w:after="120"/>
        <w:jc w:val="both"/>
        <w:rPr>
          <w:rFonts w:ascii="Arial Narrow" w:hAnsi="Arial Narrow"/>
          <w:color w:val="000000" w:themeColor="text1"/>
          <w:sz w:val="23"/>
          <w:szCs w:val="23"/>
        </w:rPr>
      </w:pPr>
      <w:r>
        <w:rPr>
          <w:rFonts w:ascii="Arial Narrow" w:hAnsi="Arial Narrow"/>
          <w:color w:val="000000" w:themeColor="text1"/>
          <w:sz w:val="23"/>
          <w:szCs w:val="23"/>
        </w:rPr>
        <w:t>-</w:t>
      </w:r>
      <w:r w:rsidRPr="00B916F8">
        <w:rPr>
          <w:rFonts w:ascii="Arial Narrow" w:hAnsi="Arial Narrow"/>
          <w:color w:val="000000" w:themeColor="text1"/>
          <w:sz w:val="23"/>
          <w:szCs w:val="23"/>
        </w:rPr>
        <w:t>Erdoğan (12.04.2014): "Yargı buna daha ne kadar sessiz kalacak. Hakimlerimiz savcılarımız Türkiye adına gerçekten çok ciddi tehdit olan paralel yapıya karşı ne kadar tepkisiz kalacak.... Yargı mensupları özellikle cesur olmalı. Bunun temizlenmesi için tüm vatansever yargı mensuplarından destek aksiyon bekliyoruz, aksiyon bekliyoruz</w:t>
      </w:r>
    </w:p>
    <w:p w14:paraId="5E772EF1" w14:textId="77777777" w:rsidR="008C311B" w:rsidRPr="00B916F8" w:rsidRDefault="008C311B" w:rsidP="00173FA0">
      <w:pPr>
        <w:spacing w:after="120"/>
        <w:jc w:val="both"/>
        <w:rPr>
          <w:rFonts w:ascii="Arial Narrow" w:hAnsi="Arial Narrow"/>
          <w:color w:val="000000" w:themeColor="text1"/>
          <w:sz w:val="23"/>
          <w:szCs w:val="23"/>
        </w:rPr>
      </w:pPr>
      <w:r>
        <w:rPr>
          <w:rFonts w:ascii="Arial Narrow" w:hAnsi="Arial Narrow"/>
          <w:color w:val="000000" w:themeColor="text1"/>
          <w:sz w:val="23"/>
          <w:szCs w:val="23"/>
        </w:rPr>
        <w:t>-</w:t>
      </w:r>
      <w:r w:rsidRPr="00B916F8">
        <w:rPr>
          <w:rFonts w:ascii="Arial Narrow" w:hAnsi="Arial Narrow"/>
          <w:color w:val="000000" w:themeColor="text1"/>
          <w:sz w:val="23"/>
          <w:szCs w:val="23"/>
        </w:rPr>
        <w:t>Erdoğan (15.04.2014): "Tek başımıza kalsak da biz bu ülkenin çıkarlarını hukuka inanmış olan yargı mensuplarıyla savunmaya devam edeceğiz. ... Adliye koridorlarından o çeteleri temizleyeceğiz. (Erdoğan bu çağrılan yaparken, Yargıda Birlik Platformu (Demeği) adı altında toplanan bir kısım yargı mensupları bu çağrıları karşılıksız bırakmayarak "Hakim ve savcılar olarak devletimizin yanındayız" mesajı vermişlerdir.</w:t>
      </w:r>
    </w:p>
    <w:p w14:paraId="1D50B8DB" w14:textId="77777777" w:rsidR="008C311B" w:rsidRPr="00B916F8" w:rsidRDefault="008C311B" w:rsidP="00173FA0">
      <w:pPr>
        <w:spacing w:after="120"/>
        <w:jc w:val="both"/>
        <w:rPr>
          <w:rFonts w:ascii="Arial Narrow" w:hAnsi="Arial Narrow"/>
          <w:color w:val="000000" w:themeColor="text1"/>
          <w:sz w:val="23"/>
          <w:szCs w:val="23"/>
        </w:rPr>
      </w:pPr>
      <w:r>
        <w:rPr>
          <w:rFonts w:ascii="Arial Narrow" w:hAnsi="Arial Narrow"/>
          <w:color w:val="000000" w:themeColor="text1"/>
          <w:sz w:val="23"/>
          <w:szCs w:val="23"/>
        </w:rPr>
        <w:t>-</w:t>
      </w:r>
      <w:r w:rsidRPr="00B916F8">
        <w:rPr>
          <w:rFonts w:ascii="Arial Narrow" w:hAnsi="Arial Narrow"/>
          <w:color w:val="000000" w:themeColor="text1"/>
          <w:sz w:val="23"/>
          <w:szCs w:val="23"/>
        </w:rPr>
        <w:t>Erdoğan (22.06.2014): "Yargıya gereken şikâyetlerde bulunduk. Biz yine sabırlıyız çünkü belli şeylerin oluşması gerekiyor.... Ben paralel ya da değil yargıya sesleniyorum: bütün belgeler ortadayken suç aletleri ortadayken yapanlar ortadayken neymiş adli kontrolle serbest bırakıyormuş. Benim itirazım var." (Erdoğan'ın yargı mensuplarına yönelik bu çıkışı sonrasında serbest kalanlar hakkında iki gün içerisinde tutuklama kararı çıkarılmıştır).</w:t>
      </w:r>
    </w:p>
    <w:p w14:paraId="3CD07337" w14:textId="77777777" w:rsidR="008C311B" w:rsidRPr="00B916F8" w:rsidRDefault="008C311B" w:rsidP="00173FA0">
      <w:pPr>
        <w:spacing w:after="120"/>
        <w:jc w:val="both"/>
        <w:rPr>
          <w:rFonts w:ascii="Arial Narrow" w:hAnsi="Arial Narrow"/>
          <w:color w:val="000000" w:themeColor="text1"/>
          <w:sz w:val="23"/>
          <w:szCs w:val="23"/>
        </w:rPr>
      </w:pPr>
      <w:r>
        <w:rPr>
          <w:rFonts w:ascii="Arial Narrow" w:hAnsi="Arial Narrow"/>
          <w:color w:val="000000" w:themeColor="text1"/>
          <w:sz w:val="23"/>
          <w:szCs w:val="23"/>
        </w:rPr>
        <w:t>-</w:t>
      </w:r>
      <w:r w:rsidRPr="00B916F8">
        <w:rPr>
          <w:rFonts w:ascii="Arial Narrow" w:hAnsi="Arial Narrow"/>
          <w:color w:val="000000" w:themeColor="text1"/>
          <w:sz w:val="23"/>
          <w:szCs w:val="23"/>
        </w:rPr>
        <w:t>Erdoğan (15.12.2014): "Yargıyı da bu tehdit ve şantajdan kurtardık. İşte şu anda yargı da bu değişim dönüşümle birlikte bir normalleşme sürecinin içerisinde girecektir."" (Erdoğan bu sözleri sarf ettiği gün YBD ağırlıklı HSYK tarafından Yargıtay'a 144, Danıştay'a 33 üye ataması yapılmıştır).</w:t>
      </w:r>
    </w:p>
    <w:p w14:paraId="23E0CDAA" w14:textId="77777777" w:rsidR="008C311B" w:rsidRPr="00B916F8" w:rsidRDefault="008C311B" w:rsidP="00173FA0">
      <w:pPr>
        <w:spacing w:after="120"/>
        <w:jc w:val="both"/>
        <w:rPr>
          <w:rFonts w:ascii="Arial Narrow" w:hAnsi="Arial Narrow"/>
          <w:color w:val="000000" w:themeColor="text1"/>
          <w:sz w:val="23"/>
          <w:szCs w:val="23"/>
        </w:rPr>
      </w:pPr>
      <w:r>
        <w:rPr>
          <w:rFonts w:ascii="Arial Narrow" w:hAnsi="Arial Narrow"/>
          <w:color w:val="000000" w:themeColor="text1"/>
          <w:sz w:val="23"/>
          <w:szCs w:val="23"/>
        </w:rPr>
        <w:t>-</w:t>
      </w:r>
      <w:r w:rsidRPr="00B916F8">
        <w:rPr>
          <w:rFonts w:ascii="Arial Narrow" w:hAnsi="Arial Narrow"/>
          <w:color w:val="000000" w:themeColor="text1"/>
          <w:sz w:val="23"/>
          <w:szCs w:val="23"/>
        </w:rPr>
        <w:t>Erdoğan (21.01.2015): "Bu tür insanları yargı makamında tutmazlar dünyada. HSYK ilk adımlarını atmıştır.... Henüz bunlar bitmedi, arkası gelecek."</w:t>
      </w:r>
    </w:p>
    <w:p w14:paraId="023EAD95" w14:textId="77777777" w:rsidR="008C311B" w:rsidRPr="00B916F8" w:rsidRDefault="008C311B" w:rsidP="00173FA0">
      <w:pPr>
        <w:spacing w:after="120"/>
        <w:jc w:val="both"/>
        <w:rPr>
          <w:rFonts w:ascii="Arial Narrow" w:hAnsi="Arial Narrow"/>
          <w:color w:val="000000" w:themeColor="text1"/>
          <w:sz w:val="23"/>
          <w:szCs w:val="23"/>
        </w:rPr>
      </w:pPr>
      <w:r>
        <w:rPr>
          <w:rFonts w:ascii="Arial Narrow" w:hAnsi="Arial Narrow"/>
          <w:color w:val="000000" w:themeColor="text1"/>
          <w:sz w:val="23"/>
          <w:szCs w:val="23"/>
        </w:rPr>
        <w:t>-</w:t>
      </w:r>
      <w:r w:rsidRPr="00B916F8">
        <w:rPr>
          <w:rFonts w:ascii="Arial Narrow" w:hAnsi="Arial Narrow"/>
          <w:color w:val="000000" w:themeColor="text1"/>
          <w:sz w:val="23"/>
          <w:szCs w:val="23"/>
        </w:rPr>
        <w:t>Erdoğan (29.04.2015): “Bu yapının adamı olduğu tespit edilenler açığa alınacak..... MGK'dan sonra kararlarımız çok farklı devam edecek."</w:t>
      </w:r>
    </w:p>
    <w:p w14:paraId="3995D0CC" w14:textId="77777777" w:rsidR="008C311B" w:rsidRPr="00B916F8" w:rsidRDefault="008C311B" w:rsidP="00173FA0">
      <w:pPr>
        <w:spacing w:after="120"/>
        <w:jc w:val="both"/>
        <w:rPr>
          <w:rFonts w:ascii="Arial Narrow" w:hAnsi="Arial Narrow"/>
          <w:color w:val="000000" w:themeColor="text1"/>
          <w:sz w:val="23"/>
          <w:szCs w:val="23"/>
        </w:rPr>
      </w:pPr>
      <w:r>
        <w:rPr>
          <w:rFonts w:ascii="Arial Narrow" w:hAnsi="Arial Narrow"/>
          <w:color w:val="000000" w:themeColor="text1"/>
          <w:sz w:val="23"/>
          <w:szCs w:val="23"/>
        </w:rPr>
        <w:t>-</w:t>
      </w:r>
      <w:r w:rsidRPr="00B916F8">
        <w:rPr>
          <w:rFonts w:ascii="Arial Narrow" w:hAnsi="Arial Narrow"/>
          <w:color w:val="000000" w:themeColor="text1"/>
          <w:sz w:val="23"/>
          <w:szCs w:val="23"/>
        </w:rPr>
        <w:t>BBP Genel Başkan Yardımcısı Remzi Çayır Cumhurbaşkanlığı seçimlerinde destek almak üzere ziyaretlerine gelen Erdoğan'ın "Sulh Ceza Mahkemeleri ile ilgili düzenleme yaptık. Şu an Abdullah beyin önünde, bir hafta, 10 gün içerisinde çıktığında bunların (</w:t>
      </w:r>
      <w:r>
        <w:rPr>
          <w:rFonts w:ascii="Arial Narrow" w:hAnsi="Arial Narrow"/>
          <w:color w:val="000000" w:themeColor="text1"/>
          <w:sz w:val="23"/>
          <w:szCs w:val="23"/>
        </w:rPr>
        <w:t>Cemaat</w:t>
      </w:r>
      <w:r w:rsidRPr="00B916F8">
        <w:rPr>
          <w:rFonts w:ascii="Arial Narrow" w:hAnsi="Arial Narrow"/>
          <w:color w:val="000000" w:themeColor="text1"/>
          <w:sz w:val="23"/>
          <w:szCs w:val="23"/>
        </w:rPr>
        <w:t>) defterini düreceğim' demişti. Aynen bu ifadeyi kullandı." dediğini ifade etmiştir."</w:t>
      </w:r>
    </w:p>
    <w:p w14:paraId="4377E745" w14:textId="77777777" w:rsidR="008C311B" w:rsidRDefault="008C311B" w:rsidP="00173FA0">
      <w:pPr>
        <w:spacing w:after="120"/>
        <w:jc w:val="both"/>
        <w:rPr>
          <w:rFonts w:ascii="Arial Narrow" w:hAnsi="Arial Narrow"/>
          <w:color w:val="000000" w:themeColor="text1"/>
          <w:sz w:val="23"/>
          <w:szCs w:val="23"/>
        </w:rPr>
      </w:pPr>
      <w:r>
        <w:rPr>
          <w:rFonts w:ascii="Arial Narrow" w:hAnsi="Arial Narrow"/>
          <w:color w:val="000000" w:themeColor="text1"/>
          <w:sz w:val="23"/>
          <w:szCs w:val="23"/>
        </w:rPr>
        <w:t>-</w:t>
      </w:r>
      <w:r w:rsidRPr="00B916F8">
        <w:rPr>
          <w:rFonts w:ascii="Arial Narrow" w:hAnsi="Arial Narrow"/>
          <w:color w:val="000000" w:themeColor="text1"/>
          <w:sz w:val="23"/>
          <w:szCs w:val="23"/>
        </w:rPr>
        <w:t>Erdoğan (12.05.2015): "Yargı bundan sonra Kırmızı Kitaba göre karar verecek. Kırmızı Kitap'a girdikten sonra burada yargı mercilerinin de bakışı değişecek. Çünkü bu milli güvenlikle ilgili bir durum. Bu mücadelede neler yapılabilir, süreç başladı. Yargıda olanları takip ediyoruz. Bu ülkenin tarihinde yargı mensuplarından savcı veya hâkim hiç tutuklanan oldu mu? Bu farklı bir olay. Burada bu tutuklama süreci muhtemelen diğerleriyle devam edebilir</w:t>
      </w:r>
      <w:r>
        <w:rPr>
          <w:rFonts w:ascii="Arial Narrow" w:hAnsi="Arial Narrow"/>
          <w:color w:val="000000" w:themeColor="text1"/>
          <w:sz w:val="23"/>
          <w:szCs w:val="23"/>
        </w:rPr>
        <w:t xml:space="preserve"> </w:t>
      </w:r>
      <w:r w:rsidRPr="00B916F8">
        <w:rPr>
          <w:rFonts w:ascii="Arial Narrow" w:hAnsi="Arial Narrow"/>
          <w:color w:val="000000" w:themeColor="text1"/>
          <w:sz w:val="23"/>
          <w:szCs w:val="23"/>
        </w:rPr>
        <w:t>(2015'teki hakim-savcı tutuklamaları hakkında)."</w:t>
      </w:r>
    </w:p>
    <w:p w14:paraId="69F025A5" w14:textId="77777777" w:rsidR="008C311B" w:rsidRPr="00B916F8" w:rsidRDefault="008C311B" w:rsidP="00173FA0">
      <w:pPr>
        <w:spacing w:after="120"/>
        <w:jc w:val="both"/>
        <w:rPr>
          <w:rFonts w:ascii="Arial Narrow" w:hAnsi="Arial Narrow"/>
          <w:color w:val="000000" w:themeColor="text1"/>
          <w:sz w:val="23"/>
          <w:szCs w:val="23"/>
        </w:rPr>
      </w:pPr>
      <w:r>
        <w:rPr>
          <w:rFonts w:ascii="Arial Narrow" w:hAnsi="Arial Narrow"/>
          <w:color w:val="000000" w:themeColor="text1"/>
          <w:sz w:val="23"/>
          <w:szCs w:val="23"/>
        </w:rPr>
        <w:t>-</w:t>
      </w:r>
      <w:r w:rsidRPr="00B916F8">
        <w:rPr>
          <w:rFonts w:ascii="Arial Narrow" w:hAnsi="Arial Narrow"/>
          <w:color w:val="000000" w:themeColor="text1"/>
          <w:sz w:val="23"/>
          <w:szCs w:val="23"/>
        </w:rPr>
        <w:t>Erdoğan: "Şimdi yaptığımız bazı yasal düzenlemeler (Sulh Ceza Hakimliklerine ilişkin) Cumhurbaşkanı'nın önünde, onaylanınca, hızlı adımlar atılacak. Kırmızı bültenler yayınlamaktan dava açmaya kadar her şey olacak.""</w:t>
      </w:r>
    </w:p>
    <w:p w14:paraId="3CE11424" w14:textId="77777777" w:rsidR="008C311B" w:rsidRPr="00B916F8" w:rsidRDefault="008C311B" w:rsidP="00173FA0">
      <w:pPr>
        <w:spacing w:after="120"/>
        <w:jc w:val="both"/>
        <w:rPr>
          <w:rFonts w:ascii="Arial Narrow" w:hAnsi="Arial Narrow"/>
          <w:color w:val="000000" w:themeColor="text1"/>
          <w:sz w:val="23"/>
          <w:szCs w:val="23"/>
        </w:rPr>
      </w:pPr>
      <w:r w:rsidRPr="00B916F8">
        <w:rPr>
          <w:rFonts w:ascii="Arial Narrow" w:hAnsi="Arial Narrow"/>
          <w:color w:val="000000" w:themeColor="text1"/>
          <w:sz w:val="23"/>
          <w:szCs w:val="23"/>
        </w:rPr>
        <w:t>Yargıyı baskı altına almaya ve yönetmeye yönelik bu sözler eyleme de dönüşmüş, yargı alanında önemli yapısal değişiklikler yapılmıştır. HSK'nın yapısı ve işleyişi, mahkemelerin kuruluşu ve üyelerinin atanma biçimi, yargının yürütmenin ağır baskısı altında olması, hakim-savcılara yönelik ağır siyasi baskılar, verdikleri kararlar nedeniyle görev yerlerinin değiştirilmesi, haklarında soruşturma açılması, açığa alma ve ihraç kararları verilmesi gibi somut olay ve olgular yargı bağımsızlığının olmadığını göstermektedir</w:t>
      </w:r>
      <w:r>
        <w:rPr>
          <w:rFonts w:ascii="Arial Narrow" w:hAnsi="Arial Narrow"/>
          <w:color w:val="000000" w:themeColor="text1"/>
          <w:sz w:val="23"/>
          <w:szCs w:val="23"/>
        </w:rPr>
        <w:t>.</w:t>
      </w:r>
    </w:p>
    <w:p w14:paraId="21CE83D2" w14:textId="77777777" w:rsidR="008C311B" w:rsidRPr="00B916F8" w:rsidRDefault="008C311B" w:rsidP="00173FA0">
      <w:pPr>
        <w:spacing w:after="120"/>
        <w:jc w:val="both"/>
        <w:rPr>
          <w:rFonts w:ascii="Arial Narrow" w:hAnsi="Arial Narrow"/>
          <w:color w:val="000000" w:themeColor="text1"/>
          <w:sz w:val="23"/>
          <w:szCs w:val="23"/>
        </w:rPr>
      </w:pPr>
      <w:r w:rsidRPr="00B916F8">
        <w:rPr>
          <w:rFonts w:ascii="Arial Narrow" w:hAnsi="Arial Narrow"/>
          <w:color w:val="000000" w:themeColor="text1"/>
          <w:sz w:val="23"/>
          <w:szCs w:val="23"/>
        </w:rPr>
        <w:t xml:space="preserve">Avrupa Konseyi Parlamenterler Meclisi'nin (AKPM) 6 Haziran 2016 tarihli "The functioning of democratic institutions in Turkey" isimli Raporu'nda (Doc 14078) belirtildiği gibi, yargı üzerindeki yürütme baskısı, dört bakan ile Başbakan Erdoğan'ın oğlunun isminin de karıştığı 17-25 Aralık 2013 tarihli rüşvet ve yolsuzluk operasyonları </w:t>
      </w:r>
      <w:r w:rsidRPr="00B916F8">
        <w:rPr>
          <w:rFonts w:ascii="Arial Narrow" w:hAnsi="Arial Narrow"/>
          <w:color w:val="000000" w:themeColor="text1"/>
          <w:sz w:val="23"/>
          <w:szCs w:val="23"/>
        </w:rPr>
        <w:lastRenderedPageBreak/>
        <w:t>ile başlamıştır. Bu çerçevede, ilk olarak HSYK yasasında ve bahse konu Raporda "özel mahkemeler" ya da "super hâkimler" olarak nitelendirilen sulh ceza hâkimliklerinin kurulmasını öngören yasal değişiklikler yapılmıştır. Sulh ceza hâkimlikleri, 17-25 Aralık 2013 tarihli rüşvet ve yolsuzluk soruşturmalarını yürüten ve iktidar tarafından "paralel yapı" olarak adlandırılan kamu görevlileri ile ve genel olarak Gülen Hareketi ile mücadele için kurulmuştur (6.6.2016 tarihli AKPM Raporu, par. 5, 31, 40, 65 ve özellikle 68). Hükümeti yakından destekleyen gazeteci Nagehan Alçı, NTV haber kanalında, 1 Mayıs 2015 tarihinde katıldığı bir programda, “Sulh ceza hâkimlikleri Paralel Yapı'yı bertaraf etmek için kuruldu" ifadelerini kullanmıştır."</w:t>
      </w:r>
    </w:p>
    <w:p w14:paraId="0AA3C17F" w14:textId="77777777" w:rsidR="008C311B" w:rsidRDefault="008C311B" w:rsidP="00173FA0">
      <w:pPr>
        <w:spacing w:after="120"/>
        <w:jc w:val="both"/>
        <w:rPr>
          <w:rFonts w:ascii="Arial Narrow" w:hAnsi="Arial Narrow"/>
          <w:color w:val="000000" w:themeColor="text1"/>
          <w:sz w:val="23"/>
          <w:szCs w:val="23"/>
        </w:rPr>
      </w:pPr>
      <w:r w:rsidRPr="00B916F8">
        <w:rPr>
          <w:rFonts w:ascii="Arial Narrow" w:hAnsi="Arial Narrow"/>
          <w:color w:val="000000" w:themeColor="text1"/>
          <w:sz w:val="23"/>
          <w:szCs w:val="23"/>
        </w:rPr>
        <w:t xml:space="preserve">Yukarıya alıntılanan bir kısım söylemlerden ve sayfa kısıtlılığı nedeniyle buraya aktarılamayan çok sayıdaki diğer delillerden anlaşıldığı üzere iktidarın temel hedefi ele geçirdiği yargı yoluyla </w:t>
      </w:r>
      <w:r>
        <w:rPr>
          <w:rFonts w:ascii="Arial Narrow" w:hAnsi="Arial Narrow"/>
          <w:color w:val="000000" w:themeColor="text1"/>
          <w:sz w:val="23"/>
          <w:szCs w:val="23"/>
        </w:rPr>
        <w:t>Cemaati</w:t>
      </w:r>
      <w:r w:rsidRPr="00FA4B62">
        <w:rPr>
          <w:rFonts w:ascii="Arial Narrow" w:hAnsi="Arial Narrow"/>
          <w:color w:val="000000" w:themeColor="text1"/>
          <w:sz w:val="23"/>
          <w:szCs w:val="23"/>
        </w:rPr>
        <w:t xml:space="preserve"> </w:t>
      </w:r>
      <w:r w:rsidRPr="00B916F8">
        <w:rPr>
          <w:rFonts w:ascii="Arial Narrow" w:hAnsi="Arial Narrow"/>
          <w:color w:val="000000" w:themeColor="text1"/>
          <w:sz w:val="23"/>
          <w:szCs w:val="23"/>
        </w:rPr>
        <w:t xml:space="preserve">bitirmektir. Bu amaçla Sulh Ceza Hakimlikleri kurulmuş ve Yargıtay'a varıncaya kadar tüm aşamalarda yürütmenin istediği doğrultuda atamalar yapılmıştır. Bu atamalarda, daha önce bahsi geçtiği üzere "Devletimizin yanındayız" mesajı veren, sosyal medya hesabında Erdoğan'a olan bağlılığını izhar eden, çeşitli platformlarda 17-25 Aralık, MİT Tırları gibi soruşturmalara ve Gülen Hareketi'ne karşı bakışta yürütme ile aynı (hasmane) görüşleri dile getiren, yani oyunu belli eden (taraflı) yargı mensuplan tercih edilmiş, "FETÖ ile mücadele edenler yüksek yargıç oldu" haberinde de görüleceği üzere </w:t>
      </w:r>
      <w:r>
        <w:rPr>
          <w:rFonts w:ascii="Arial Narrow" w:hAnsi="Arial Narrow"/>
          <w:color w:val="000000" w:themeColor="text1"/>
          <w:sz w:val="23"/>
          <w:szCs w:val="23"/>
        </w:rPr>
        <w:t>Cemaat</w:t>
      </w:r>
      <w:r w:rsidRPr="00FA4B62">
        <w:rPr>
          <w:rFonts w:ascii="Arial Narrow" w:hAnsi="Arial Narrow"/>
          <w:color w:val="000000" w:themeColor="text1"/>
          <w:sz w:val="23"/>
          <w:szCs w:val="23"/>
        </w:rPr>
        <w:t xml:space="preserve"> </w:t>
      </w:r>
      <w:r w:rsidRPr="00B916F8">
        <w:rPr>
          <w:rFonts w:ascii="Arial Narrow" w:hAnsi="Arial Narrow"/>
          <w:color w:val="000000" w:themeColor="text1"/>
          <w:sz w:val="23"/>
          <w:szCs w:val="23"/>
        </w:rPr>
        <w:t xml:space="preserve"> karşı Hükümetin yanında yer alanlar terfi ettirilmiştir. </w:t>
      </w:r>
    </w:p>
    <w:p w14:paraId="4742CD13" w14:textId="77777777" w:rsidR="008C311B" w:rsidRPr="00B916F8" w:rsidRDefault="008C311B" w:rsidP="00173FA0">
      <w:pPr>
        <w:spacing w:after="120"/>
        <w:jc w:val="both"/>
        <w:rPr>
          <w:rFonts w:ascii="Arial Narrow" w:hAnsi="Arial Narrow"/>
          <w:color w:val="000000" w:themeColor="text1"/>
          <w:sz w:val="23"/>
          <w:szCs w:val="23"/>
        </w:rPr>
      </w:pPr>
      <w:r w:rsidRPr="00B916F8">
        <w:rPr>
          <w:rFonts w:ascii="Arial Narrow" w:hAnsi="Arial Narrow"/>
          <w:color w:val="000000" w:themeColor="text1"/>
          <w:sz w:val="23"/>
          <w:szCs w:val="23"/>
        </w:rPr>
        <w:t>Gülen Hareketi mensuplarına yönelik davalar yürütmenin kontrolündedir. Erdoğan'ın (20.03.2015) "Paralelle bağlantılı davalarda karar veren hâkimleri yakından takip ediyoruz ve (07.06.2017) "Başdanışmanlarımın tamamıyla duruşmalanı takip ediyorum.</w:t>
      </w:r>
      <w:r>
        <w:rPr>
          <w:rFonts w:ascii="Arial Narrow" w:hAnsi="Arial Narrow"/>
          <w:color w:val="000000" w:themeColor="text1"/>
          <w:sz w:val="23"/>
          <w:szCs w:val="23"/>
        </w:rPr>
        <w:t xml:space="preserve"> </w:t>
      </w:r>
      <w:r w:rsidRPr="00B916F8">
        <w:rPr>
          <w:rFonts w:ascii="Arial Narrow" w:hAnsi="Arial Narrow"/>
          <w:color w:val="000000" w:themeColor="text1"/>
          <w:sz w:val="23"/>
          <w:szCs w:val="23"/>
        </w:rPr>
        <w:t>Günbegün raporlarını alıyorum." sözleri, 15 Temmuz darbe girişimi davasına bakan mahkeme başkanının duruşma öncesinde Cumhurbaşkanı danışmanı ile görüştüğünün ortaya çıkması, bu davaların yürütmenin kontrolünde yürüdüğünü göstermektedir. Bu siyasi takip ve baskı ortamında yürütmenin isteğine aykırı karar verilmesi mümkün değildir. Bunda o derece ileri gidilmiştir ki, Mehmet Altan, Şahin Alpay, Alparslan Altan, Hakan Baş, Selahattin Demirtaş, Osman Kavala,</w:t>
      </w:r>
      <w:r>
        <w:rPr>
          <w:rFonts w:ascii="Arial Narrow" w:hAnsi="Arial Narrow"/>
          <w:color w:val="000000" w:themeColor="text1"/>
          <w:sz w:val="23"/>
          <w:szCs w:val="23"/>
        </w:rPr>
        <w:t xml:space="preserve"> Yüksel Yalçınkaya,</w:t>
      </w:r>
      <w:r w:rsidRPr="00B916F8">
        <w:rPr>
          <w:rFonts w:ascii="Arial Narrow" w:hAnsi="Arial Narrow"/>
          <w:color w:val="000000" w:themeColor="text1"/>
          <w:sz w:val="23"/>
          <w:szCs w:val="23"/>
        </w:rPr>
        <w:t xml:space="preserve"> İsmet Özçelik&amp;Turgay Karaman örneklerinde olduğu gibi AYM, AİHM ve BM-İHK kararlanı bile uygulanmamaktadır</w:t>
      </w:r>
      <w:r>
        <w:rPr>
          <w:rFonts w:ascii="Arial Narrow" w:hAnsi="Arial Narrow"/>
          <w:color w:val="000000" w:themeColor="text1"/>
          <w:sz w:val="23"/>
          <w:szCs w:val="23"/>
        </w:rPr>
        <w:t>.</w:t>
      </w:r>
    </w:p>
    <w:p w14:paraId="68C2249F" w14:textId="77777777" w:rsidR="008C311B" w:rsidRPr="00B916F8" w:rsidRDefault="008C311B" w:rsidP="00173FA0">
      <w:pPr>
        <w:spacing w:after="120"/>
        <w:jc w:val="both"/>
        <w:rPr>
          <w:rFonts w:ascii="Arial Narrow" w:hAnsi="Arial Narrow"/>
          <w:color w:val="000000" w:themeColor="text1"/>
          <w:sz w:val="23"/>
          <w:szCs w:val="23"/>
        </w:rPr>
      </w:pPr>
      <w:r w:rsidRPr="00B916F8">
        <w:rPr>
          <w:rFonts w:ascii="Arial Narrow" w:hAnsi="Arial Narrow"/>
          <w:color w:val="000000" w:themeColor="text1"/>
          <w:sz w:val="23"/>
          <w:szCs w:val="23"/>
        </w:rPr>
        <w:t>Hak ve özgürlüklerden yararlanma ve hakların sınırlandırılmasında ayrımcılık yapılması "gizli amacın" en önemli delillerinden birisidir. Avrupa Konseyi İnsan Haklanı Komiseri Memorandumunda da değinildiği gibi Türkiye'de her kesimden insanın Gülen Hareketi ile iletişimi veya ilişkisi olmuştur. Bunların başında da muhafazakâr tabana sahip AKP gelmektedir. Gerçekte suç olmayan yasal faaliyetler Gülen Hareketi mensupları veya ilişkili olanlar için terör örgütü üyeliğine delil sayılırken, aynı kriterleri taşıyan iktidar mensuplan başta olmak üzere toplumun diğer kesimlerine dokunulmamıştır.</w:t>
      </w:r>
      <w:r>
        <w:rPr>
          <w:rFonts w:ascii="Arial Narrow" w:hAnsi="Arial Narrow"/>
          <w:color w:val="000000" w:themeColor="text1"/>
          <w:sz w:val="23"/>
          <w:szCs w:val="23"/>
        </w:rPr>
        <w:t xml:space="preserve"> </w:t>
      </w:r>
      <w:r w:rsidRPr="00B916F8">
        <w:rPr>
          <w:rFonts w:ascii="Arial Narrow" w:hAnsi="Arial Narrow"/>
          <w:color w:val="000000" w:themeColor="text1"/>
          <w:sz w:val="23"/>
          <w:szCs w:val="23"/>
        </w:rPr>
        <w:t>Örneğin; çocuklarının Gülen Hareketi ile bağlantılı okullarda dershanelerde eğitim görmesi suçlama nedeni yapılırken, bu tür bir okulda eğitim gören Berat Albayrak Bakan yapılmış, AKP yöneticilerinin (Erdoğan dahil) çocuklarının Gülen Hareketi ile ilişkili dershanede eğitim görmesi sorgulanmamıştır.</w:t>
      </w:r>
    </w:p>
    <w:p w14:paraId="7B03D5FA" w14:textId="77777777" w:rsidR="008C311B" w:rsidRPr="00B916F8" w:rsidRDefault="008C311B" w:rsidP="00173FA0">
      <w:pPr>
        <w:spacing w:after="120"/>
        <w:jc w:val="both"/>
        <w:rPr>
          <w:rFonts w:ascii="Arial Narrow" w:hAnsi="Arial Narrow"/>
          <w:color w:val="000000" w:themeColor="text1"/>
          <w:sz w:val="23"/>
          <w:szCs w:val="23"/>
        </w:rPr>
      </w:pPr>
      <w:r w:rsidRPr="00B916F8">
        <w:rPr>
          <w:rFonts w:ascii="Arial Narrow" w:hAnsi="Arial Narrow"/>
          <w:color w:val="000000" w:themeColor="text1"/>
          <w:sz w:val="23"/>
          <w:szCs w:val="23"/>
        </w:rPr>
        <w:t>ByLock nedeniyle yüzbine yakın insan tutuklanırken, iktidara yakın kimseler hakkında soruşturma açılmamakta veya takipsizlik karan verilmektedir (Örneğin: TRT eski Genel Müdürü İbrahim Şahin ve Konyaspor Başkanı Ahmet Şan). Yine 82'si AKP'li, 43'ü CHP, MHP ve HDP'li olmak üzere 125 milletvekilinin telefonuna ByLock yüklendiği iddia edilmiş, isimleri sosyal medyada teşhir edildiği halde bu iddianın üzerine gidilmemiştir.</w:t>
      </w:r>
    </w:p>
    <w:p w14:paraId="5D34DF70" w14:textId="77777777" w:rsidR="008C311B" w:rsidRPr="00B916F8" w:rsidRDefault="008C311B" w:rsidP="00173FA0">
      <w:pPr>
        <w:spacing w:after="120"/>
        <w:jc w:val="both"/>
        <w:rPr>
          <w:rFonts w:ascii="Arial Narrow" w:hAnsi="Arial Narrow"/>
          <w:color w:val="000000" w:themeColor="text1"/>
          <w:sz w:val="23"/>
          <w:szCs w:val="23"/>
        </w:rPr>
      </w:pPr>
      <w:r>
        <w:rPr>
          <w:rFonts w:ascii="Arial Narrow" w:hAnsi="Arial Narrow"/>
          <w:color w:val="000000" w:themeColor="text1"/>
          <w:sz w:val="23"/>
          <w:szCs w:val="23"/>
        </w:rPr>
        <w:t>Cemaat</w:t>
      </w:r>
      <w:r w:rsidRPr="00FA4B62">
        <w:rPr>
          <w:rFonts w:ascii="Arial Narrow" w:hAnsi="Arial Narrow"/>
          <w:color w:val="000000" w:themeColor="text1"/>
          <w:sz w:val="23"/>
          <w:szCs w:val="23"/>
        </w:rPr>
        <w:t xml:space="preserve"> </w:t>
      </w:r>
      <w:r w:rsidRPr="00B916F8">
        <w:rPr>
          <w:rFonts w:ascii="Arial Narrow" w:hAnsi="Arial Narrow"/>
          <w:color w:val="000000" w:themeColor="text1"/>
          <w:sz w:val="23"/>
          <w:szCs w:val="23"/>
        </w:rPr>
        <w:t>bağlantılı "Kimse Yok Mu" isimli demeğe bağışta bulunmak veya Gülen Hareketi ile bağlantılı demeklere üye olmak suçlama konusu yapılırken, Kimse Yok Mu Derneği üyesi Gökçen Enç 01.11.2015'te AKP'den milletvekili seçilmiştir. Demek üyeliği nedeniyle hakkında hiçbir soruşturma açılmamıştır.</w:t>
      </w:r>
    </w:p>
    <w:p w14:paraId="506CC333" w14:textId="77777777" w:rsidR="008C311B" w:rsidRPr="00FA4B62" w:rsidRDefault="008C311B" w:rsidP="00173FA0">
      <w:pPr>
        <w:spacing w:after="120"/>
        <w:jc w:val="both"/>
        <w:rPr>
          <w:rFonts w:ascii="Arial Narrow" w:hAnsi="Arial Narrow"/>
          <w:color w:val="000000" w:themeColor="text1"/>
          <w:sz w:val="23"/>
          <w:szCs w:val="23"/>
        </w:rPr>
      </w:pPr>
      <w:r w:rsidRPr="00B916F8">
        <w:rPr>
          <w:rFonts w:ascii="Arial Narrow" w:hAnsi="Arial Narrow"/>
          <w:color w:val="000000" w:themeColor="text1"/>
          <w:sz w:val="23"/>
          <w:szCs w:val="23"/>
        </w:rPr>
        <w:t>Bank Asya'ya para yatırmak terör örgütüne yardım veya üyelik sayılırken, Bank Asya'da yöneticilik yapmış isimlere üst düzey görevler verildiği", iktidar partisi mensuplarına veya yakınlarına soruşturma açılmadığı, takipsizlik beraat kararlanı verildiği görülmektedir (örneğin AKP'li Meclis eski Başkanı Bülent Arınç'ın damadı Ekrem Yeter).</w:t>
      </w:r>
    </w:p>
    <w:p w14:paraId="77894A80" w14:textId="77777777" w:rsidR="008C311B" w:rsidRPr="00B916F8" w:rsidRDefault="008C311B" w:rsidP="00173FA0">
      <w:pPr>
        <w:spacing w:after="120"/>
        <w:jc w:val="both"/>
        <w:rPr>
          <w:rFonts w:ascii="Arial Narrow" w:hAnsi="Arial Narrow"/>
          <w:color w:val="000000" w:themeColor="text1"/>
          <w:sz w:val="23"/>
          <w:szCs w:val="23"/>
        </w:rPr>
      </w:pPr>
      <w:r>
        <w:rPr>
          <w:rFonts w:ascii="Arial Narrow" w:hAnsi="Arial Narrow"/>
          <w:color w:val="000000" w:themeColor="text1"/>
          <w:sz w:val="23"/>
          <w:szCs w:val="23"/>
        </w:rPr>
        <w:lastRenderedPageBreak/>
        <w:t>Cemaat</w:t>
      </w:r>
      <w:r w:rsidRPr="00FA4B62">
        <w:rPr>
          <w:rFonts w:ascii="Arial Narrow" w:hAnsi="Arial Narrow"/>
          <w:color w:val="000000" w:themeColor="text1"/>
          <w:sz w:val="23"/>
          <w:szCs w:val="23"/>
        </w:rPr>
        <w:t xml:space="preserve"> </w:t>
      </w:r>
      <w:r w:rsidRPr="00B916F8">
        <w:rPr>
          <w:rFonts w:ascii="Arial Narrow" w:hAnsi="Arial Narrow"/>
          <w:color w:val="000000" w:themeColor="text1"/>
          <w:sz w:val="23"/>
          <w:szCs w:val="23"/>
        </w:rPr>
        <w:t>yöneticisi olduğu iddia edilen kişilerle telefonda görüşmek (HTS) suç delili sayılmaktadır. Örneğin Ş.AT. isimli kişiyle HTS kaydı olanlar hakkında dava açılırken, aynı isimle HTS kaydı çıkan onlarca AKP'li isme soruşturma bile açılmamıştır. Yine bir sanık hakkında A.Ç. isimli kişiyle birkaç görüşme yapması nedeniyle suçlama yapılırken, aynı kişiyle 93 görüşme kaydı bulunan İsmail Rüştü Cirit 2020 yılı başına kadar Yargıtay Başkanı olarak görev yapmıştır ve hakkında HTS kaydına dayalı herhangi bir suç isnadı yoktur.</w:t>
      </w:r>
    </w:p>
    <w:p w14:paraId="68FBFB92" w14:textId="77777777" w:rsidR="008C311B" w:rsidRPr="00B916F8" w:rsidRDefault="008C311B" w:rsidP="00173FA0">
      <w:pPr>
        <w:spacing w:after="120"/>
        <w:jc w:val="both"/>
        <w:rPr>
          <w:rFonts w:ascii="Arial Narrow" w:hAnsi="Arial Narrow"/>
          <w:color w:val="000000" w:themeColor="text1"/>
          <w:sz w:val="23"/>
          <w:szCs w:val="23"/>
        </w:rPr>
      </w:pPr>
      <w:r w:rsidRPr="00B916F8">
        <w:rPr>
          <w:rFonts w:ascii="Arial Narrow" w:hAnsi="Arial Narrow"/>
          <w:color w:val="000000" w:themeColor="text1"/>
          <w:sz w:val="23"/>
          <w:szCs w:val="23"/>
        </w:rPr>
        <w:t xml:space="preserve">AKP Genel Başkan Yardımcısı Mahir Ünal 20.12.2019'da bir TV programında yaptığı açıklamada "kendi partileri içinde "FETÖ temizliği yaptıklarını, onlarca milletvekilinin istifa ettiğini, kongre ve seçimlerde bu yapıyla ilişkili olanları partiye yaklaştırılmadığını belirtmiştir. Bu açıklamaya göre, sözde parti içi temizlik yapılarak </w:t>
      </w:r>
      <w:r>
        <w:rPr>
          <w:rFonts w:ascii="Arial Narrow" w:hAnsi="Arial Narrow"/>
          <w:color w:val="000000" w:themeColor="text1"/>
          <w:sz w:val="23"/>
          <w:szCs w:val="23"/>
        </w:rPr>
        <w:t>Cemaat</w:t>
      </w:r>
      <w:r w:rsidRPr="00FA4B62">
        <w:rPr>
          <w:rFonts w:ascii="Arial Narrow" w:hAnsi="Arial Narrow"/>
          <w:color w:val="000000" w:themeColor="text1"/>
          <w:sz w:val="23"/>
          <w:szCs w:val="23"/>
        </w:rPr>
        <w:t xml:space="preserve"> </w:t>
      </w:r>
      <w:r w:rsidRPr="00B916F8">
        <w:rPr>
          <w:rFonts w:ascii="Arial Narrow" w:hAnsi="Arial Narrow"/>
          <w:color w:val="000000" w:themeColor="text1"/>
          <w:sz w:val="23"/>
          <w:szCs w:val="23"/>
        </w:rPr>
        <w:t>ile bağlantılı olduğu düşünülen kişiler tasfiye edilmişlerdir, ancak diğerlerinin aksine bu kişiler hakkında yasal bir işlem yapılmamış, soruşturma açılmamış, tutuklanmamış, mallarına el konulmamıştır.</w:t>
      </w:r>
    </w:p>
    <w:p w14:paraId="25EEFF9C" w14:textId="77777777" w:rsidR="008C311B" w:rsidRPr="00B916F8" w:rsidRDefault="008C311B" w:rsidP="00173FA0">
      <w:pPr>
        <w:spacing w:after="120"/>
        <w:jc w:val="both"/>
        <w:rPr>
          <w:rFonts w:ascii="Arial Narrow" w:hAnsi="Arial Narrow"/>
          <w:color w:val="000000" w:themeColor="text1"/>
          <w:sz w:val="23"/>
          <w:szCs w:val="23"/>
        </w:rPr>
      </w:pPr>
      <w:r w:rsidRPr="00B916F8">
        <w:rPr>
          <w:rFonts w:ascii="Arial Narrow" w:hAnsi="Arial Narrow"/>
          <w:color w:val="000000" w:themeColor="text1"/>
          <w:sz w:val="23"/>
          <w:szCs w:val="23"/>
        </w:rPr>
        <w:t>Bunların yanı sıra büyük adliyelerde kamuoyunda "FETÖ BORSASI" adıyla bilinen çeteler oluşmuş, varlıklı kişiler yüklü miktarlarda rüşvet karşılığında serbest bırakılmış, soruşturmalanı kapatılmıştır.</w:t>
      </w:r>
    </w:p>
    <w:p w14:paraId="5CD0C8E7" w14:textId="77777777" w:rsidR="008C311B" w:rsidRPr="00B916F8" w:rsidRDefault="008C311B" w:rsidP="00173FA0">
      <w:pPr>
        <w:spacing w:after="120"/>
        <w:jc w:val="both"/>
        <w:rPr>
          <w:rFonts w:ascii="Arial Narrow" w:hAnsi="Arial Narrow"/>
          <w:color w:val="000000" w:themeColor="text1"/>
          <w:sz w:val="23"/>
          <w:szCs w:val="23"/>
        </w:rPr>
      </w:pPr>
      <w:r w:rsidRPr="00B916F8">
        <w:rPr>
          <w:rFonts w:ascii="Arial Narrow" w:hAnsi="Arial Narrow"/>
          <w:color w:val="000000" w:themeColor="text1"/>
          <w:sz w:val="23"/>
          <w:szCs w:val="23"/>
        </w:rPr>
        <w:t xml:space="preserve">Örnekleri çoğaltmak mümkündür. Aynı eylem ve faaliyetler </w:t>
      </w:r>
      <w:r>
        <w:rPr>
          <w:rFonts w:ascii="Arial Narrow" w:hAnsi="Arial Narrow"/>
          <w:color w:val="000000" w:themeColor="text1"/>
          <w:sz w:val="23"/>
          <w:szCs w:val="23"/>
        </w:rPr>
        <w:t>Cemaat</w:t>
      </w:r>
      <w:r w:rsidRPr="00FA4B62">
        <w:rPr>
          <w:rFonts w:ascii="Arial Narrow" w:hAnsi="Arial Narrow"/>
          <w:color w:val="000000" w:themeColor="text1"/>
          <w:sz w:val="23"/>
          <w:szCs w:val="23"/>
        </w:rPr>
        <w:t xml:space="preserve"> </w:t>
      </w:r>
      <w:r w:rsidRPr="00B916F8">
        <w:rPr>
          <w:rFonts w:ascii="Arial Narrow" w:hAnsi="Arial Narrow"/>
          <w:color w:val="000000" w:themeColor="text1"/>
          <w:sz w:val="23"/>
          <w:szCs w:val="23"/>
        </w:rPr>
        <w:t>mensupları için terör örgütü üyeliğine delil sayılırken, iktidar yanlıları veya toplumun diğer kesimlerine karşı herhangi bir soruşturma işlemi yapılmamıştır. Esasen doğrusu da budur, çünkü bu eylemler suç değildir. Bir eylem ya da faaliyet ceza kanunu anlamında suç ise herkes için suç; değilse hiç kimse için suç değildir. Aksi uygulama suç ve cezaların kanuniliği ilkesinin uygulanmasında ayrımcılık (AİHS m.14) anlamına gelir.</w:t>
      </w:r>
    </w:p>
    <w:p w14:paraId="50B83FD3" w14:textId="77777777" w:rsidR="008C311B" w:rsidRPr="00B916F8" w:rsidRDefault="008C311B" w:rsidP="00173FA0">
      <w:pPr>
        <w:spacing w:after="120"/>
        <w:jc w:val="both"/>
        <w:rPr>
          <w:rFonts w:ascii="Arial Narrow" w:hAnsi="Arial Narrow"/>
          <w:color w:val="000000" w:themeColor="text1"/>
          <w:sz w:val="23"/>
          <w:szCs w:val="23"/>
        </w:rPr>
      </w:pPr>
      <w:r w:rsidRPr="00B916F8">
        <w:rPr>
          <w:rFonts w:ascii="Arial Narrow" w:hAnsi="Arial Narrow"/>
          <w:color w:val="000000" w:themeColor="text1"/>
          <w:sz w:val="23"/>
          <w:szCs w:val="23"/>
        </w:rPr>
        <w:t xml:space="preserve">Suç unsuru taşımayan yasal nitelikteki eylem ve faaliyetlerin, yıllar sonra ve sadece </w:t>
      </w:r>
      <w:r>
        <w:rPr>
          <w:rFonts w:ascii="Arial Narrow" w:hAnsi="Arial Narrow"/>
          <w:color w:val="000000" w:themeColor="text1"/>
          <w:sz w:val="23"/>
          <w:szCs w:val="23"/>
        </w:rPr>
        <w:t>Cemaat</w:t>
      </w:r>
      <w:r w:rsidRPr="00FA4B62">
        <w:rPr>
          <w:rFonts w:ascii="Arial Narrow" w:hAnsi="Arial Narrow"/>
          <w:color w:val="000000" w:themeColor="text1"/>
          <w:sz w:val="23"/>
          <w:szCs w:val="23"/>
        </w:rPr>
        <w:t xml:space="preserve"> </w:t>
      </w:r>
      <w:r w:rsidRPr="00B916F8">
        <w:rPr>
          <w:rFonts w:ascii="Arial Narrow" w:hAnsi="Arial Narrow"/>
          <w:color w:val="000000" w:themeColor="text1"/>
          <w:sz w:val="23"/>
          <w:szCs w:val="23"/>
        </w:rPr>
        <w:t xml:space="preserve">mensupları veya takipçileri için suçlama konusu yapılması (diğer Sözleşme ihlallerinin yanı sıra) </w:t>
      </w:r>
      <w:r>
        <w:rPr>
          <w:rFonts w:ascii="Arial Narrow" w:hAnsi="Arial Narrow"/>
          <w:color w:val="000000" w:themeColor="text1"/>
          <w:sz w:val="23"/>
          <w:szCs w:val="23"/>
        </w:rPr>
        <w:t>Cemaat</w:t>
      </w:r>
      <w:r w:rsidRPr="00FA4B62">
        <w:rPr>
          <w:rFonts w:ascii="Arial Narrow" w:hAnsi="Arial Narrow"/>
          <w:color w:val="000000" w:themeColor="text1"/>
          <w:sz w:val="23"/>
          <w:szCs w:val="23"/>
        </w:rPr>
        <w:t xml:space="preserve"> </w:t>
      </w:r>
      <w:r w:rsidRPr="00B916F8">
        <w:rPr>
          <w:rFonts w:ascii="Arial Narrow" w:hAnsi="Arial Narrow"/>
          <w:color w:val="000000" w:themeColor="text1"/>
          <w:sz w:val="23"/>
          <w:szCs w:val="23"/>
        </w:rPr>
        <w:t xml:space="preserve">mensuplarına yönelik "gizli amacın" bir başka tezahür şeklidir. </w:t>
      </w:r>
      <w:r>
        <w:rPr>
          <w:rFonts w:ascii="Arial Narrow" w:hAnsi="Arial Narrow"/>
          <w:color w:val="000000" w:themeColor="text1"/>
          <w:sz w:val="23"/>
          <w:szCs w:val="23"/>
        </w:rPr>
        <w:t>Cemaat</w:t>
      </w:r>
      <w:r w:rsidRPr="00FA4B62">
        <w:rPr>
          <w:rFonts w:ascii="Arial Narrow" w:hAnsi="Arial Narrow"/>
          <w:color w:val="000000" w:themeColor="text1"/>
          <w:sz w:val="23"/>
          <w:szCs w:val="23"/>
        </w:rPr>
        <w:t xml:space="preserve"> </w:t>
      </w:r>
      <w:r w:rsidRPr="00B916F8">
        <w:rPr>
          <w:rFonts w:ascii="Arial Narrow" w:hAnsi="Arial Narrow"/>
          <w:color w:val="000000" w:themeColor="text1"/>
          <w:sz w:val="23"/>
          <w:szCs w:val="23"/>
        </w:rPr>
        <w:t xml:space="preserve">mensuplarına yönelik hak sınırlamaları, sebepleri, sonuçlanı No3. burada sayılanlardan ibaret değildir. Sadece soruşturması olanlara değil, </w:t>
      </w:r>
      <w:r>
        <w:rPr>
          <w:rFonts w:ascii="Arial Narrow" w:hAnsi="Arial Narrow"/>
          <w:color w:val="000000" w:themeColor="text1"/>
          <w:sz w:val="23"/>
          <w:szCs w:val="23"/>
        </w:rPr>
        <w:t>Cemaat</w:t>
      </w:r>
      <w:r w:rsidRPr="00FA4B62">
        <w:rPr>
          <w:rFonts w:ascii="Arial Narrow" w:hAnsi="Arial Narrow"/>
          <w:color w:val="000000" w:themeColor="text1"/>
          <w:sz w:val="23"/>
          <w:szCs w:val="23"/>
        </w:rPr>
        <w:t xml:space="preserve"> </w:t>
      </w:r>
      <w:r w:rsidRPr="00B916F8">
        <w:rPr>
          <w:rFonts w:ascii="Arial Narrow" w:hAnsi="Arial Narrow"/>
          <w:color w:val="000000" w:themeColor="text1"/>
          <w:sz w:val="23"/>
          <w:szCs w:val="23"/>
        </w:rPr>
        <w:t>mensuplarının çocuklarına varıncaya kadar pek çok hukuksuz uygulama mevcuttur (soruşturma geçiren kişinin çocuklarına da hak sınırlamaları uygulanması gibi).</w:t>
      </w:r>
    </w:p>
    <w:p w14:paraId="0B11812D" w14:textId="45F4FF2E" w:rsidR="008C311B" w:rsidRDefault="008C311B" w:rsidP="00173FA0">
      <w:pPr>
        <w:spacing w:after="120"/>
        <w:jc w:val="both"/>
        <w:rPr>
          <w:rFonts w:ascii="Arial Narrow" w:hAnsi="Arial Narrow"/>
          <w:color w:val="000000" w:themeColor="text1"/>
          <w:sz w:val="23"/>
          <w:szCs w:val="23"/>
        </w:rPr>
      </w:pPr>
      <w:r w:rsidRPr="00B916F8">
        <w:rPr>
          <w:rFonts w:ascii="Arial Narrow" w:hAnsi="Arial Narrow"/>
          <w:color w:val="000000" w:themeColor="text1"/>
          <w:sz w:val="23"/>
          <w:szCs w:val="23"/>
        </w:rPr>
        <w:t xml:space="preserve">Bütün bunların toplamından çıkan sonuç çok açık bir şekilde ve özetle şudur. </w:t>
      </w:r>
      <w:r>
        <w:rPr>
          <w:rFonts w:ascii="Arial Narrow" w:hAnsi="Arial Narrow"/>
          <w:color w:val="000000" w:themeColor="text1"/>
          <w:sz w:val="23"/>
          <w:szCs w:val="23"/>
        </w:rPr>
        <w:t>Cemaat</w:t>
      </w:r>
      <w:r w:rsidRPr="00FA4B62">
        <w:rPr>
          <w:rFonts w:ascii="Arial Narrow" w:hAnsi="Arial Narrow"/>
          <w:color w:val="000000" w:themeColor="text1"/>
          <w:sz w:val="23"/>
          <w:szCs w:val="23"/>
        </w:rPr>
        <w:t xml:space="preserve"> </w:t>
      </w:r>
      <w:r w:rsidRPr="00B916F8">
        <w:rPr>
          <w:rFonts w:ascii="Arial Narrow" w:hAnsi="Arial Narrow"/>
          <w:color w:val="000000" w:themeColor="text1"/>
          <w:sz w:val="23"/>
          <w:szCs w:val="23"/>
        </w:rPr>
        <w:t>mensuplarına karşı yapılan hak sınırlamalarının temelinde Gülen Hareketini bitirme, yok etme, intikam alma amacı vardır ve bu amaçla da planlı ve sistemli bir uygula</w:t>
      </w:r>
      <w:r>
        <w:rPr>
          <w:rFonts w:ascii="Arial Narrow" w:hAnsi="Arial Narrow"/>
          <w:color w:val="000000" w:themeColor="text1"/>
          <w:sz w:val="23"/>
          <w:szCs w:val="23"/>
        </w:rPr>
        <w:t>ma yapıl</w:t>
      </w:r>
      <w:r w:rsidRPr="00B916F8">
        <w:rPr>
          <w:rFonts w:ascii="Arial Narrow" w:hAnsi="Arial Narrow"/>
          <w:color w:val="000000" w:themeColor="text1"/>
          <w:sz w:val="23"/>
          <w:szCs w:val="23"/>
        </w:rPr>
        <w:t xml:space="preserve">maktadır. Sayıları bir milyona varan soruşturmalar, tutuklamalar, milyarlarca dolarlık malvarlığına elkoymalar ve süreçteki tüm insan hakkı ihlalleri göstermektedir ki, Erdoğan'ın 28.04.2015'te "Bu örgütün içinde yer alanların A'dan Z'ye bedelini ödemesi lazım" </w:t>
      </w:r>
      <w:r>
        <w:rPr>
          <w:rFonts w:ascii="Arial Narrow" w:hAnsi="Arial Narrow"/>
          <w:color w:val="000000" w:themeColor="text1"/>
          <w:sz w:val="23"/>
          <w:szCs w:val="23"/>
        </w:rPr>
        <w:t>ş</w:t>
      </w:r>
      <w:r w:rsidRPr="00B916F8">
        <w:rPr>
          <w:rFonts w:ascii="Arial Narrow" w:hAnsi="Arial Narrow"/>
          <w:color w:val="000000" w:themeColor="text1"/>
          <w:sz w:val="23"/>
          <w:szCs w:val="23"/>
        </w:rPr>
        <w:t xml:space="preserve">eklinde ifade ettiği üzere </w:t>
      </w:r>
      <w:r>
        <w:rPr>
          <w:rFonts w:ascii="Arial Narrow" w:hAnsi="Arial Narrow"/>
          <w:color w:val="000000" w:themeColor="text1"/>
          <w:sz w:val="23"/>
          <w:szCs w:val="23"/>
        </w:rPr>
        <w:t>Cemaatle</w:t>
      </w:r>
      <w:r w:rsidRPr="00FA4B62">
        <w:rPr>
          <w:rFonts w:ascii="Arial Narrow" w:hAnsi="Arial Narrow"/>
          <w:color w:val="000000" w:themeColor="text1"/>
          <w:sz w:val="23"/>
          <w:szCs w:val="23"/>
        </w:rPr>
        <w:t xml:space="preserve"> </w:t>
      </w:r>
      <w:r w:rsidRPr="00B916F8">
        <w:rPr>
          <w:rFonts w:ascii="Arial Narrow" w:hAnsi="Arial Narrow"/>
          <w:color w:val="000000" w:themeColor="text1"/>
          <w:sz w:val="23"/>
          <w:szCs w:val="23"/>
        </w:rPr>
        <w:t xml:space="preserve">ilişkili olan herkese A'dan Z'ye bedel ödetilmekte, cezalandırılmakta ve intikam alınmaktadır. Ne yazık ki bütün bu hak ihlalleri yürütmeye bağlanan yargı vasıtasıyla yürütülmektedir. Görüldüğü üzere </w:t>
      </w:r>
      <w:r>
        <w:rPr>
          <w:rFonts w:ascii="Arial Narrow" w:hAnsi="Arial Narrow"/>
          <w:color w:val="000000" w:themeColor="text1"/>
          <w:sz w:val="23"/>
          <w:szCs w:val="23"/>
        </w:rPr>
        <w:t>Cemaat</w:t>
      </w:r>
      <w:r w:rsidRPr="00FA4B62">
        <w:rPr>
          <w:rFonts w:ascii="Arial Narrow" w:hAnsi="Arial Narrow"/>
          <w:color w:val="000000" w:themeColor="text1"/>
          <w:sz w:val="23"/>
          <w:szCs w:val="23"/>
        </w:rPr>
        <w:t xml:space="preserve"> </w:t>
      </w:r>
      <w:r w:rsidRPr="00B916F8">
        <w:rPr>
          <w:rFonts w:ascii="Arial Narrow" w:hAnsi="Arial Narrow"/>
          <w:color w:val="000000" w:themeColor="text1"/>
          <w:sz w:val="23"/>
          <w:szCs w:val="23"/>
        </w:rPr>
        <w:t xml:space="preserve">mensuplarına yönelik hak sınırlamalarında AİHMin 18. maddenin ihlali olarak saydığı kriterlerden ve delillerden çok daha fazlası vardır. Başvurucunun </w:t>
      </w:r>
      <w:r>
        <w:rPr>
          <w:rFonts w:ascii="Arial Narrow" w:hAnsi="Arial Narrow"/>
          <w:color w:val="000000" w:themeColor="text1"/>
          <w:sz w:val="23"/>
          <w:szCs w:val="23"/>
        </w:rPr>
        <w:t>Cemaat</w:t>
      </w:r>
      <w:r w:rsidRPr="00FA4B62">
        <w:rPr>
          <w:rFonts w:ascii="Arial Narrow" w:hAnsi="Arial Narrow"/>
          <w:color w:val="000000" w:themeColor="text1"/>
          <w:sz w:val="23"/>
          <w:szCs w:val="23"/>
        </w:rPr>
        <w:t xml:space="preserve"> </w:t>
      </w:r>
      <w:r w:rsidRPr="00B916F8">
        <w:rPr>
          <w:rFonts w:ascii="Arial Narrow" w:hAnsi="Arial Narrow"/>
          <w:color w:val="000000" w:themeColor="text1"/>
          <w:sz w:val="23"/>
          <w:szCs w:val="23"/>
        </w:rPr>
        <w:t>mensup olduğu iddiasıyla cezalandırılması da yukarıda açıklanan "gizli amacın" yerine getirilmesinden ibarettir ve bu nedenle AIHS</w:t>
      </w:r>
      <w:r>
        <w:rPr>
          <w:rFonts w:ascii="Arial Narrow" w:hAnsi="Arial Narrow"/>
          <w:color w:val="000000" w:themeColor="text1"/>
          <w:sz w:val="23"/>
          <w:szCs w:val="23"/>
        </w:rPr>
        <w:t>’</w:t>
      </w:r>
      <w:r w:rsidRPr="00B916F8">
        <w:rPr>
          <w:rFonts w:ascii="Arial Narrow" w:hAnsi="Arial Narrow"/>
          <w:color w:val="000000" w:themeColor="text1"/>
          <w:sz w:val="23"/>
          <w:szCs w:val="23"/>
        </w:rPr>
        <w:t>in 18. maddesi ihlal edilmiştir.</w:t>
      </w:r>
    </w:p>
    <w:p w14:paraId="6E71AC45" w14:textId="77777777" w:rsidR="00F2184F" w:rsidRPr="00F2184F" w:rsidRDefault="00F2184F" w:rsidP="00173FA0">
      <w:pPr>
        <w:spacing w:after="120"/>
        <w:jc w:val="both"/>
        <w:rPr>
          <w:rFonts w:ascii="Arial Narrow" w:hAnsi="Arial Narrow"/>
          <w:color w:val="000000" w:themeColor="text1"/>
          <w:sz w:val="23"/>
          <w:szCs w:val="23"/>
        </w:rPr>
      </w:pPr>
    </w:p>
    <w:p w14:paraId="29D03D33" w14:textId="77777777" w:rsidR="00F2184F" w:rsidRPr="00317BF7" w:rsidRDefault="00F2184F" w:rsidP="00F2184F">
      <w:pPr>
        <w:spacing w:after="120"/>
        <w:jc w:val="both"/>
        <w:rPr>
          <w:rFonts w:ascii="Arial Narrow" w:hAnsi="Arial Narrow" w:cs="Times New Roman"/>
          <w:bCs/>
          <w:sz w:val="24"/>
          <w:szCs w:val="24"/>
        </w:rPr>
      </w:pPr>
      <w:r w:rsidRPr="00317BF7">
        <w:rPr>
          <w:rFonts w:ascii="Arial Narrow" w:hAnsi="Arial Narrow"/>
          <w:b/>
          <w:bCs/>
          <w:color w:val="FF0000"/>
          <w:sz w:val="24"/>
          <w:szCs w:val="24"/>
        </w:rPr>
        <w:t xml:space="preserve">(BAŞVURUYA İLİŞKİN AÇIKLAMALAR EN FAZLA </w:t>
      </w:r>
      <w:r w:rsidRPr="002453C6">
        <w:rPr>
          <w:rFonts w:ascii="Arial Narrow" w:hAnsi="Arial Narrow"/>
          <w:b/>
          <w:bCs/>
          <w:color w:val="FF0000"/>
          <w:sz w:val="24"/>
          <w:szCs w:val="24"/>
          <w:u w:val="single"/>
        </w:rPr>
        <w:t>20 SAYFA OLACAĞINDAN</w:t>
      </w:r>
      <w:r w:rsidRPr="00317BF7">
        <w:rPr>
          <w:rFonts w:ascii="Arial Narrow" w:hAnsi="Arial Narrow"/>
          <w:b/>
          <w:bCs/>
          <w:color w:val="FF0000"/>
          <w:sz w:val="24"/>
          <w:szCs w:val="24"/>
        </w:rPr>
        <w:t xml:space="preserve">, KENDİNİZLE İLGİLİ OLMAYAN KISIMLARI, YANİ BYLOCK-ANKESÖR VE DİĞER BAŞLIKLARLA İLGİLİ AÇIKLAMALARDAN SİZİNLE İLGİLİ OLMAYANLARI ÇIKARDIKTAN SONRA AÇIKLAMANIN </w:t>
      </w:r>
      <w:r w:rsidRPr="002453C6">
        <w:rPr>
          <w:rFonts w:ascii="Arial Narrow" w:hAnsi="Arial Narrow"/>
          <w:b/>
          <w:bCs/>
          <w:color w:val="FF0000"/>
          <w:sz w:val="24"/>
          <w:szCs w:val="24"/>
          <w:u w:val="single"/>
        </w:rPr>
        <w:t>20 SAYFA OLMASINA</w:t>
      </w:r>
      <w:r w:rsidRPr="00317BF7">
        <w:rPr>
          <w:rFonts w:ascii="Arial Narrow" w:hAnsi="Arial Narrow"/>
          <w:b/>
          <w:bCs/>
          <w:color w:val="FF0000"/>
          <w:sz w:val="24"/>
          <w:szCs w:val="24"/>
        </w:rPr>
        <w:t xml:space="preserve"> DİKKAT EDİNİZ) </w:t>
      </w:r>
      <w:r>
        <w:rPr>
          <w:rFonts w:ascii="Arial Narrow" w:hAnsi="Arial Narrow"/>
          <w:b/>
          <w:bCs/>
          <w:color w:val="FF0000"/>
          <w:sz w:val="24"/>
          <w:szCs w:val="24"/>
        </w:rPr>
        <w:t xml:space="preserve">AYNI ŞEKİLDE, KENDİNİZLE İLGİLİ OLMAYAN KISIMLARA İLİŞKİN ÖRNEK BAŞVURU FORMUNDA EK AÇIKLAMALARDA AYRINTILI ANLATIM YAPILDIĞINA İLİŞKİN İFADELERİ DE SİLİN. YANİ KENDİNİZLE İLGİLİ OLMAYAN KISIMLARI HEM BU METİNDEN HEM DE BAŞVURU FORMUNDAN SİLİN. AYRICA, BAŞVURU FORMU VE EK AÇIKLAMALAR KISMI AVUKAT MI, YOKSA BAŞVURUCU TARAFINDAN MI DOLDURULACAĞI TARAFIMIZCA BİLİNEMEDİĞİNDEN, HER İKİ İHTİMALE GÖRE DE YAZILAN KISIMLAR OLABİLİR. BU NEDENLE, </w:t>
      </w:r>
      <w:r>
        <w:rPr>
          <w:rFonts w:ascii="Arial Narrow" w:hAnsi="Arial Narrow"/>
          <w:b/>
          <w:bCs/>
          <w:color w:val="FF0000"/>
          <w:sz w:val="24"/>
          <w:szCs w:val="24"/>
        </w:rPr>
        <w:lastRenderedPageBreak/>
        <w:t>BAŞVURU FORMU VE EK AÇIKLAMALAR KİM TARAFINDAN DOLDURULACAKSA ONA GÖRE YAZIM DİLİ DE KONTROL EDİLMELİDİR.</w:t>
      </w:r>
    </w:p>
    <w:p w14:paraId="31F7AF90" w14:textId="77777777" w:rsidR="008C311B" w:rsidRPr="00EC42C7" w:rsidRDefault="008C311B" w:rsidP="00173FA0">
      <w:pPr>
        <w:spacing w:after="120"/>
        <w:jc w:val="both"/>
        <w:rPr>
          <w:rFonts w:ascii="Arial Narrow" w:hAnsi="Arial Narrow" w:cs="Times New Roman"/>
          <w:bCs/>
          <w:sz w:val="23"/>
          <w:szCs w:val="23"/>
        </w:rPr>
      </w:pPr>
    </w:p>
    <w:p w14:paraId="1AE979D3" w14:textId="77777777" w:rsidR="00E54E97" w:rsidRDefault="00E54E97" w:rsidP="00173FA0">
      <w:pPr>
        <w:tabs>
          <w:tab w:val="left" w:pos="284"/>
          <w:tab w:val="left" w:pos="567"/>
          <w:tab w:val="left" w:pos="851"/>
          <w:tab w:val="left" w:pos="1134"/>
          <w:tab w:val="left" w:pos="1418"/>
        </w:tabs>
        <w:spacing w:after="120"/>
        <w:jc w:val="both"/>
        <w:rPr>
          <w:rFonts w:ascii="Arial Narrow" w:hAnsi="Arial Narrow" w:cs="Times New Roman"/>
          <w:spacing w:val="-1"/>
          <w:sz w:val="24"/>
          <w:szCs w:val="24"/>
        </w:rPr>
      </w:pPr>
    </w:p>
    <w:p w14:paraId="6EEF0B5D" w14:textId="77777777" w:rsidR="00E54E97" w:rsidRPr="00BD7679" w:rsidRDefault="00E54E97" w:rsidP="00173FA0">
      <w:pPr>
        <w:spacing w:after="120"/>
        <w:rPr>
          <w:rFonts w:ascii="Arial Narrow" w:hAnsi="Arial Narrow"/>
          <w:sz w:val="23"/>
          <w:szCs w:val="23"/>
        </w:rPr>
      </w:pPr>
    </w:p>
    <w:p w14:paraId="4A76F992" w14:textId="77777777" w:rsidR="00E54E97" w:rsidRPr="00614020" w:rsidRDefault="00E54E97" w:rsidP="00173FA0">
      <w:pPr>
        <w:tabs>
          <w:tab w:val="left" w:pos="284"/>
          <w:tab w:val="left" w:pos="567"/>
          <w:tab w:val="left" w:pos="851"/>
          <w:tab w:val="left" w:pos="1134"/>
          <w:tab w:val="left" w:pos="1418"/>
        </w:tabs>
        <w:spacing w:after="120"/>
        <w:jc w:val="both"/>
        <w:rPr>
          <w:rFonts w:ascii="Arial Narrow" w:hAnsi="Arial Narrow" w:cs="Times New Roman"/>
          <w:spacing w:val="-1"/>
          <w:sz w:val="24"/>
          <w:szCs w:val="24"/>
        </w:rPr>
      </w:pPr>
    </w:p>
    <w:sectPr w:rsidR="00E54E97" w:rsidRPr="00614020" w:rsidSect="008324DA">
      <w:footerReference w:type="default" r:id="rId8"/>
      <w:pgSz w:w="11906" w:h="16838"/>
      <w:pgMar w:top="1418" w:right="1416" w:bottom="127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4C47A" w14:textId="77777777" w:rsidR="00D1644D" w:rsidRDefault="00D1644D" w:rsidP="00374FF4">
      <w:pPr>
        <w:spacing w:after="0" w:line="240" w:lineRule="auto"/>
      </w:pPr>
      <w:r>
        <w:separator/>
      </w:r>
    </w:p>
  </w:endnote>
  <w:endnote w:type="continuationSeparator" w:id="0">
    <w:p w14:paraId="1C61CAD0" w14:textId="77777777" w:rsidR="00D1644D" w:rsidRDefault="00D1644D" w:rsidP="00374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ndale Sans UI">
    <w:charset w:val="A2"/>
    <w:family w:val="auto"/>
    <w:pitch w:val="variable"/>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1469"/>
      <w:docPartObj>
        <w:docPartGallery w:val="Page Numbers (Bottom of Page)"/>
        <w:docPartUnique/>
      </w:docPartObj>
    </w:sdtPr>
    <w:sdtContent>
      <w:p w14:paraId="04F2A3E0" w14:textId="77777777" w:rsidR="00695777" w:rsidRDefault="00A3123B">
        <w:pPr>
          <w:pStyle w:val="AltBilgi"/>
          <w:jc w:val="center"/>
        </w:pPr>
        <w:r>
          <w:fldChar w:fldCharType="begin"/>
        </w:r>
        <w:r>
          <w:instrText xml:space="preserve"> PAGE   \* MERGEFORMAT </w:instrText>
        </w:r>
        <w:r>
          <w:fldChar w:fldCharType="separate"/>
        </w:r>
        <w:r w:rsidR="00147729">
          <w:rPr>
            <w:noProof/>
          </w:rPr>
          <w:t>20</w:t>
        </w:r>
        <w:r>
          <w:rPr>
            <w:noProof/>
          </w:rPr>
          <w:fldChar w:fldCharType="end"/>
        </w:r>
      </w:p>
    </w:sdtContent>
  </w:sdt>
  <w:p w14:paraId="6B856FF0" w14:textId="77777777" w:rsidR="00695777" w:rsidRDefault="0069577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617A7" w14:textId="77777777" w:rsidR="00D1644D" w:rsidRDefault="00D1644D" w:rsidP="00374FF4">
      <w:pPr>
        <w:spacing w:after="0" w:line="240" w:lineRule="auto"/>
      </w:pPr>
      <w:r>
        <w:separator/>
      </w:r>
    </w:p>
  </w:footnote>
  <w:footnote w:type="continuationSeparator" w:id="0">
    <w:p w14:paraId="5B83DAEF" w14:textId="77777777" w:rsidR="00D1644D" w:rsidRDefault="00D1644D" w:rsidP="00374FF4">
      <w:pPr>
        <w:spacing w:after="0" w:line="240" w:lineRule="auto"/>
      </w:pPr>
      <w:r>
        <w:continuationSeparator/>
      </w:r>
    </w:p>
  </w:footnote>
  <w:footnote w:id="1">
    <w:p w14:paraId="7E9F7BD7" w14:textId="77777777" w:rsidR="00160C47" w:rsidRPr="00173FA0" w:rsidRDefault="00160C47" w:rsidP="00173FA0">
      <w:pPr>
        <w:pStyle w:val="DipnotMetni"/>
        <w:spacing w:after="0" w:line="240" w:lineRule="auto"/>
        <w:ind w:left="567" w:hanging="567"/>
        <w:rPr>
          <w:rFonts w:ascii="Arial Narrow" w:hAnsi="Arial Narrow"/>
          <w:sz w:val="19"/>
          <w:szCs w:val="19"/>
        </w:rPr>
      </w:pPr>
      <w:r w:rsidRPr="00173FA0">
        <w:rPr>
          <w:rStyle w:val="DipnotBavurusu"/>
          <w:rFonts w:ascii="Arial Narrow" w:hAnsi="Arial Narrow"/>
          <w:sz w:val="19"/>
          <w:szCs w:val="19"/>
          <w:vertAlign w:val="baseline"/>
        </w:rPr>
        <w:footnoteRef/>
      </w:r>
      <w:r w:rsidRPr="00173FA0">
        <w:rPr>
          <w:rFonts w:ascii="Arial Narrow" w:hAnsi="Arial Narrow"/>
          <w:sz w:val="19"/>
          <w:szCs w:val="19"/>
        </w:rPr>
        <w:t xml:space="preserve">  </w:t>
      </w:r>
      <w:r w:rsidRPr="00173FA0">
        <w:rPr>
          <w:rFonts w:ascii="Arial Narrow" w:hAnsi="Arial Narrow"/>
          <w:sz w:val="19"/>
          <w:szCs w:val="19"/>
        </w:rPr>
        <w:tab/>
        <w:t>(</w:t>
      </w:r>
      <w:r w:rsidRPr="00173FA0">
        <w:rPr>
          <w:rFonts w:ascii="Arial Narrow" w:hAnsi="Arial Narrow"/>
          <w:i/>
          <w:iCs/>
          <w:sz w:val="19"/>
          <w:szCs w:val="19"/>
        </w:rPr>
        <w:t>Guðmundur Andri Ástráðsson/ İzlanda</w:t>
      </w:r>
      <w:r w:rsidRPr="00173FA0">
        <w:rPr>
          <w:rFonts w:ascii="Arial Narrow" w:hAnsi="Arial Narrow"/>
          <w:sz w:val="19"/>
          <w:szCs w:val="19"/>
        </w:rPr>
        <w:t xml:space="preserve"> [BD], B. No: 26374/18, 01/12/2020; </w:t>
      </w:r>
      <w:r w:rsidRPr="00173FA0">
        <w:rPr>
          <w:rFonts w:ascii="Arial Narrow" w:hAnsi="Arial Narrow"/>
          <w:bCs/>
          <w:i/>
          <w:sz w:val="19"/>
          <w:szCs w:val="19"/>
        </w:rPr>
        <w:t>Advance Pharma sp. z o.o/Polanya,</w:t>
      </w:r>
      <w:r w:rsidRPr="00173FA0">
        <w:rPr>
          <w:rFonts w:ascii="Arial Narrow" w:hAnsi="Arial Narrow"/>
          <w:bCs/>
          <w:sz w:val="19"/>
          <w:szCs w:val="19"/>
        </w:rPr>
        <w:t xml:space="preserve"> B. No: 1469/20, 03/02/2022, </w:t>
      </w:r>
      <w:r w:rsidRPr="00173FA0">
        <w:rPr>
          <w:rFonts w:ascii="Arial Narrow" w:hAnsi="Arial Narrow"/>
          <w:sz w:val="19"/>
          <w:szCs w:val="19"/>
        </w:rPr>
        <w:t>§§ 349 vd.)</w:t>
      </w:r>
    </w:p>
  </w:footnote>
  <w:footnote w:id="2">
    <w:p w14:paraId="475EF3E5" w14:textId="753DE9CB" w:rsidR="00160C47" w:rsidRPr="00173FA0" w:rsidRDefault="00160C47" w:rsidP="00173FA0">
      <w:pPr>
        <w:pStyle w:val="DipnotMetni"/>
        <w:spacing w:after="0" w:line="240" w:lineRule="auto"/>
        <w:ind w:left="567" w:hanging="567"/>
        <w:rPr>
          <w:rFonts w:ascii="Arial Narrow" w:hAnsi="Arial Narrow"/>
          <w:sz w:val="19"/>
          <w:szCs w:val="19"/>
        </w:rPr>
      </w:pPr>
      <w:r w:rsidRPr="00173FA0">
        <w:rPr>
          <w:rStyle w:val="DipnotBavurusu"/>
          <w:rFonts w:ascii="Arial Narrow" w:hAnsi="Arial Narrow"/>
          <w:sz w:val="19"/>
          <w:szCs w:val="19"/>
          <w:vertAlign w:val="baseline"/>
        </w:rPr>
        <w:footnoteRef/>
      </w:r>
      <w:r w:rsidRPr="00173FA0">
        <w:rPr>
          <w:rFonts w:ascii="Arial Narrow" w:hAnsi="Arial Narrow"/>
          <w:sz w:val="19"/>
          <w:szCs w:val="19"/>
        </w:rPr>
        <w:t xml:space="preserve">    </w:t>
      </w:r>
      <w:r w:rsidR="002A1941">
        <w:rPr>
          <w:rFonts w:ascii="Arial Narrow" w:hAnsi="Arial Narrow"/>
          <w:sz w:val="19"/>
          <w:szCs w:val="19"/>
        </w:rPr>
        <w:tab/>
      </w:r>
      <w:r w:rsidRPr="00173FA0">
        <w:rPr>
          <w:rFonts w:ascii="Arial Narrow" w:hAnsi="Arial Narrow"/>
          <w:sz w:val="19"/>
          <w:szCs w:val="19"/>
        </w:rPr>
        <w:t>https://humanrights-ev.com/turkiyede-yargi-bagimsizligi-ve-tarafsizligi-yoktur-hrd-ozel-rapor/</w:t>
      </w:r>
    </w:p>
  </w:footnote>
  <w:footnote w:id="3">
    <w:p w14:paraId="2ECD4E3F" w14:textId="77777777" w:rsidR="00695777" w:rsidRPr="00173FA0" w:rsidRDefault="00695777" w:rsidP="00173FA0">
      <w:pPr>
        <w:pStyle w:val="DipnotMetni"/>
        <w:spacing w:after="0" w:line="240" w:lineRule="auto"/>
        <w:ind w:left="567" w:hanging="567"/>
        <w:rPr>
          <w:rFonts w:ascii="Arial Narrow" w:hAnsi="Arial Narrow"/>
          <w:sz w:val="19"/>
          <w:szCs w:val="19"/>
        </w:rPr>
      </w:pPr>
      <w:r w:rsidRPr="00173FA0">
        <w:rPr>
          <w:rStyle w:val="DipnotBavurusu"/>
          <w:rFonts w:ascii="Arial Narrow" w:hAnsi="Arial Narrow"/>
          <w:sz w:val="19"/>
          <w:szCs w:val="19"/>
          <w:vertAlign w:val="baseline"/>
        </w:rPr>
        <w:footnoteRef/>
      </w:r>
      <w:r w:rsidRPr="00173FA0">
        <w:rPr>
          <w:rFonts w:ascii="Arial Narrow" w:hAnsi="Arial Narrow"/>
          <w:sz w:val="19"/>
          <w:szCs w:val="19"/>
        </w:rPr>
        <w:t xml:space="preserve"> </w:t>
      </w:r>
      <w:r w:rsidRPr="00173FA0">
        <w:rPr>
          <w:rFonts w:ascii="Arial Narrow" w:hAnsi="Arial Narrow"/>
          <w:sz w:val="19"/>
          <w:szCs w:val="19"/>
        </w:rPr>
        <w:tab/>
        <w:t xml:space="preserve">Yargıtay 16. Ceza Dairesi 24/04/2017 T., 2015/3E., 2017/3 K. </w:t>
      </w:r>
    </w:p>
  </w:footnote>
  <w:footnote w:id="4">
    <w:p w14:paraId="153F9F28" w14:textId="77777777" w:rsidR="00695777" w:rsidRPr="00173FA0" w:rsidRDefault="00695777" w:rsidP="00173FA0">
      <w:pPr>
        <w:pStyle w:val="DIPSON"/>
        <w:keepNext/>
        <w:spacing w:line="240" w:lineRule="auto"/>
        <w:ind w:left="567" w:hanging="567"/>
        <w:rPr>
          <w:rFonts w:ascii="Arial Narrow" w:eastAsia="SimSun" w:hAnsi="Arial Narrow" w:cs="Times New Roman"/>
          <w:color w:val="auto"/>
          <w:sz w:val="19"/>
          <w:szCs w:val="19"/>
          <w:lang w:eastAsia="zh-CN"/>
        </w:rPr>
      </w:pPr>
      <w:r w:rsidRPr="00173FA0">
        <w:rPr>
          <w:rStyle w:val="DipnotBavurusu"/>
          <w:rFonts w:ascii="Arial Narrow" w:hAnsi="Arial Narrow"/>
          <w:color w:val="auto"/>
          <w:sz w:val="19"/>
          <w:szCs w:val="19"/>
          <w:vertAlign w:val="baseline"/>
        </w:rPr>
        <w:footnoteRef/>
      </w:r>
      <w:r w:rsidRPr="00173FA0">
        <w:rPr>
          <w:rFonts w:ascii="Arial Narrow" w:hAnsi="Arial Narrow" w:cs="Times New Roman"/>
          <w:color w:val="auto"/>
          <w:sz w:val="19"/>
          <w:szCs w:val="19"/>
        </w:rPr>
        <w:t xml:space="preserve"> </w:t>
      </w:r>
      <w:r w:rsidRPr="00173FA0">
        <w:rPr>
          <w:rFonts w:ascii="Arial Narrow" w:hAnsi="Arial Narrow" w:cs="Times New Roman"/>
          <w:color w:val="auto"/>
          <w:sz w:val="19"/>
          <w:szCs w:val="19"/>
        </w:rPr>
        <w:tab/>
        <w:t xml:space="preserve">Yargıtay Ceza Genel </w:t>
      </w:r>
      <w:r w:rsidRPr="00173FA0">
        <w:rPr>
          <w:rFonts w:ascii="Arial Narrow" w:eastAsia="SimSun" w:hAnsi="Arial Narrow" w:cs="Times New Roman"/>
          <w:color w:val="auto"/>
          <w:sz w:val="19"/>
          <w:szCs w:val="19"/>
          <w:lang w:eastAsia="zh-CN"/>
        </w:rPr>
        <w:t xml:space="preserve">Kurulu </w:t>
      </w:r>
      <w:r w:rsidRPr="00173FA0">
        <w:rPr>
          <w:rFonts w:ascii="Arial Narrow" w:hAnsi="Arial Narrow" w:cs="Times New Roman"/>
          <w:sz w:val="19"/>
          <w:szCs w:val="19"/>
          <w:lang w:eastAsia="zh-CN"/>
        </w:rPr>
        <w:t>26/9/2017 T., 2017/16.MD-956 E., 2017/370 K.</w:t>
      </w:r>
    </w:p>
  </w:footnote>
  <w:footnote w:id="5">
    <w:p w14:paraId="44C973F5" w14:textId="77777777" w:rsidR="00695777" w:rsidRPr="00173FA0" w:rsidRDefault="00695777" w:rsidP="00173FA0">
      <w:pPr>
        <w:pStyle w:val="DipnotMetni"/>
        <w:spacing w:after="0" w:line="240" w:lineRule="auto"/>
        <w:ind w:left="567" w:hanging="567"/>
        <w:rPr>
          <w:rFonts w:ascii="Arial Narrow" w:hAnsi="Arial Narrow"/>
          <w:sz w:val="19"/>
          <w:szCs w:val="19"/>
        </w:rPr>
      </w:pPr>
      <w:r w:rsidRPr="00173FA0">
        <w:rPr>
          <w:rStyle w:val="DipnotBavurusu"/>
          <w:rFonts w:ascii="Arial Narrow" w:hAnsi="Arial Narrow"/>
          <w:sz w:val="19"/>
          <w:szCs w:val="19"/>
          <w:vertAlign w:val="baseline"/>
        </w:rPr>
        <w:footnoteRef/>
      </w:r>
      <w:r w:rsidRPr="00173FA0">
        <w:rPr>
          <w:rFonts w:ascii="Arial Narrow" w:hAnsi="Arial Narrow"/>
          <w:sz w:val="19"/>
          <w:szCs w:val="19"/>
        </w:rPr>
        <w:t xml:space="preserve"> </w:t>
      </w:r>
      <w:r w:rsidRPr="00173FA0">
        <w:rPr>
          <w:rFonts w:ascii="Arial Narrow" w:hAnsi="Arial Narrow"/>
          <w:sz w:val="19"/>
          <w:szCs w:val="19"/>
        </w:rPr>
        <w:tab/>
        <w:t>Yargıtay 16. Ceza Dairesi 24/04/2017 T., 2015/3E., 2017/3 K</w:t>
      </w:r>
      <w:r w:rsidRPr="00173FA0">
        <w:rPr>
          <w:rFonts w:ascii="Arial Narrow" w:hAnsi="Arial Narrow"/>
          <w:sz w:val="19"/>
          <w:szCs w:val="19"/>
          <w:lang w:bidi="ar-YE"/>
        </w:rPr>
        <w:t>.</w:t>
      </w:r>
    </w:p>
  </w:footnote>
  <w:footnote w:id="6">
    <w:p w14:paraId="7F726135" w14:textId="77777777" w:rsidR="00695777" w:rsidRPr="00173FA0" w:rsidRDefault="00695777" w:rsidP="00173FA0">
      <w:pPr>
        <w:pStyle w:val="DIPSON"/>
        <w:keepNext/>
        <w:spacing w:line="240" w:lineRule="auto"/>
        <w:ind w:left="567" w:hanging="567"/>
        <w:rPr>
          <w:rFonts w:ascii="Arial Narrow" w:hAnsi="Arial Narrow" w:cs="Times New Roman"/>
          <w:color w:val="auto"/>
          <w:sz w:val="19"/>
          <w:szCs w:val="19"/>
        </w:rPr>
      </w:pPr>
      <w:r w:rsidRPr="00173FA0">
        <w:rPr>
          <w:rFonts w:ascii="Arial Narrow" w:hAnsi="Arial Narrow" w:cs="Times New Roman"/>
          <w:color w:val="auto"/>
          <w:sz w:val="19"/>
          <w:szCs w:val="19"/>
        </w:rPr>
        <w:footnoteRef/>
      </w:r>
      <w:r w:rsidRPr="00173FA0">
        <w:rPr>
          <w:rFonts w:ascii="Arial Narrow" w:hAnsi="Arial Narrow" w:cs="Times New Roman"/>
          <w:color w:val="auto"/>
          <w:sz w:val="19"/>
          <w:szCs w:val="19"/>
        </w:rPr>
        <w:tab/>
        <w:t xml:space="preserve">Yargıtay Ceza Genel Kurulu 26/09/2017 T., 2017/16. MD-956 E., 2017/370 K. </w:t>
      </w:r>
    </w:p>
  </w:footnote>
  <w:footnote w:id="7">
    <w:p w14:paraId="62081AF9" w14:textId="77777777" w:rsidR="00695777" w:rsidRPr="00173FA0" w:rsidRDefault="00695777" w:rsidP="00173FA0">
      <w:pPr>
        <w:autoSpaceDE w:val="0"/>
        <w:autoSpaceDN w:val="0"/>
        <w:adjustRightInd w:val="0"/>
        <w:spacing w:after="0" w:line="240" w:lineRule="auto"/>
        <w:ind w:left="567" w:right="-22" w:hanging="567"/>
        <w:jc w:val="both"/>
        <w:textAlignment w:val="center"/>
        <w:rPr>
          <w:rFonts w:ascii="Arial Narrow" w:hAnsi="Arial Narrow" w:cs="Times New Roman"/>
          <w:i/>
          <w:iCs/>
          <w:sz w:val="19"/>
          <w:szCs w:val="19"/>
        </w:rPr>
      </w:pPr>
      <w:r w:rsidRPr="00173FA0">
        <w:rPr>
          <w:rFonts w:ascii="Arial Narrow" w:hAnsi="Arial Narrow" w:cs="Times New Roman"/>
          <w:sz w:val="19"/>
          <w:szCs w:val="19"/>
        </w:rPr>
        <w:footnoteRef/>
      </w:r>
      <w:r w:rsidRPr="00173FA0">
        <w:rPr>
          <w:rFonts w:ascii="Arial Narrow" w:hAnsi="Arial Narrow" w:cs="Times New Roman"/>
          <w:sz w:val="19"/>
          <w:szCs w:val="19"/>
        </w:rPr>
        <w:t xml:space="preserve"> </w:t>
      </w:r>
      <w:r w:rsidRPr="00173FA0">
        <w:rPr>
          <w:rFonts w:ascii="Arial Narrow" w:hAnsi="Arial Narrow" w:cs="Times New Roman"/>
          <w:sz w:val="19"/>
          <w:szCs w:val="19"/>
        </w:rPr>
        <w:tab/>
        <w:t>Y</w:t>
      </w:r>
      <w:r w:rsidRPr="00173FA0">
        <w:rPr>
          <w:rStyle w:val="HafifVurgulama"/>
          <w:rFonts w:ascii="Arial Narrow" w:hAnsi="Arial Narrow"/>
          <w:i w:val="0"/>
          <w:color w:val="auto"/>
          <w:sz w:val="19"/>
          <w:szCs w:val="19"/>
        </w:rPr>
        <w:t xml:space="preserve">argıtay Ceza Genel Kurulu 20/12/2018 T., 2018/16-419 E., 2018/661 K. Kararın ilgili kısmı şöyledir: </w:t>
      </w:r>
      <w:r w:rsidRPr="00173FA0">
        <w:rPr>
          <w:rFonts w:ascii="Arial Narrow" w:hAnsi="Arial Narrow" w:cs="Times New Roman"/>
          <w:i/>
          <w:iCs/>
          <w:sz w:val="19"/>
          <w:szCs w:val="19"/>
        </w:rPr>
        <w:t xml:space="preserve">“Ankara Cumhuriyet Başsavcılığınca bilgilendirme amacıyla Yargıtay Ceza Genel Kuruluna sunulan Emniyet Genel Müdürlüğü Kaçakçılık ve Organize Suçlarla Mücadele (KOM) Daire Başkanlığının 11.12.2018 tarihli </w:t>
      </w:r>
      <w:r w:rsidRPr="00173FA0">
        <w:rPr>
          <w:rFonts w:ascii="Arial Narrow" w:hAnsi="Arial Narrow" w:cs="Times New Roman"/>
          <w:b/>
          <w:i/>
          <w:iCs/>
          <w:sz w:val="19"/>
          <w:szCs w:val="19"/>
        </w:rPr>
        <w:t>ByLock Kronoloji Raporunda,</w:t>
      </w:r>
      <w:r w:rsidRPr="00173FA0">
        <w:rPr>
          <w:rFonts w:ascii="Arial Narrow" w:hAnsi="Arial Narrow" w:cs="Times New Roman"/>
          <w:i/>
          <w:iCs/>
          <w:sz w:val="19"/>
          <w:szCs w:val="19"/>
        </w:rPr>
        <w:t xml:space="preserve"> </w:t>
      </w:r>
    </w:p>
    <w:p w14:paraId="6BFFB1DF" w14:textId="77777777" w:rsidR="00695777" w:rsidRPr="00173FA0" w:rsidRDefault="00695777" w:rsidP="002A1941">
      <w:pPr>
        <w:autoSpaceDE w:val="0"/>
        <w:autoSpaceDN w:val="0"/>
        <w:adjustRightInd w:val="0"/>
        <w:spacing w:after="0" w:line="240" w:lineRule="auto"/>
        <w:ind w:left="567" w:right="-22"/>
        <w:jc w:val="both"/>
        <w:textAlignment w:val="center"/>
        <w:rPr>
          <w:rFonts w:ascii="Arial Narrow" w:hAnsi="Arial Narrow" w:cs="Times New Roman"/>
          <w:i/>
          <w:iCs/>
          <w:sz w:val="19"/>
          <w:szCs w:val="19"/>
        </w:rPr>
      </w:pPr>
      <w:r w:rsidRPr="00173FA0">
        <w:rPr>
          <w:rFonts w:ascii="Arial Narrow" w:hAnsi="Arial Narrow" w:cs="Times New Roman"/>
          <w:i/>
          <w:iCs/>
          <w:sz w:val="19"/>
          <w:szCs w:val="19"/>
        </w:rPr>
        <w:t xml:space="preserve">- MİT tarafından Ankara Cumhuriyet Başsavcılığına kurulan bilgisayarda yer alan </w:t>
      </w:r>
      <w:r w:rsidRPr="00173FA0">
        <w:rPr>
          <w:rFonts w:ascii="Arial Narrow" w:hAnsi="Arial Narrow" w:cs="Times New Roman"/>
          <w:b/>
          <w:i/>
          <w:iCs/>
          <w:sz w:val="19"/>
          <w:szCs w:val="19"/>
        </w:rPr>
        <w:t>BYLOCK VERİLERİNİN 29.11.2016 TARİHİNDE KOM GÖREVLİLERİNCE İMAJI ALINARAK</w:t>
      </w:r>
      <w:r w:rsidRPr="00173FA0">
        <w:rPr>
          <w:rFonts w:ascii="Arial Narrow" w:hAnsi="Arial Narrow" w:cs="Times New Roman"/>
          <w:i/>
          <w:iCs/>
          <w:sz w:val="19"/>
          <w:szCs w:val="19"/>
        </w:rPr>
        <w:t xml:space="preserve"> KOM Daire Başkanlığına gönderildiği, </w:t>
      </w:r>
    </w:p>
    <w:p w14:paraId="4B57BC09" w14:textId="77777777" w:rsidR="00695777" w:rsidRPr="00173FA0" w:rsidRDefault="00695777" w:rsidP="002A1941">
      <w:pPr>
        <w:autoSpaceDE w:val="0"/>
        <w:autoSpaceDN w:val="0"/>
        <w:adjustRightInd w:val="0"/>
        <w:spacing w:after="0" w:line="240" w:lineRule="auto"/>
        <w:ind w:left="567" w:right="-22"/>
        <w:jc w:val="both"/>
        <w:textAlignment w:val="center"/>
        <w:rPr>
          <w:rFonts w:ascii="Arial Narrow" w:hAnsi="Arial Narrow" w:cs="Times New Roman"/>
          <w:i/>
          <w:iCs/>
          <w:sz w:val="19"/>
          <w:szCs w:val="19"/>
        </w:rPr>
      </w:pPr>
      <w:r w:rsidRPr="00173FA0">
        <w:rPr>
          <w:rFonts w:ascii="Arial Narrow" w:hAnsi="Arial Narrow" w:cs="Times New Roman"/>
          <w:i/>
          <w:iCs/>
          <w:sz w:val="19"/>
          <w:szCs w:val="19"/>
        </w:rPr>
        <w:t xml:space="preserve">- Bu verilerin incelenerek adli soruşturma ve kovuşturmalarda kullanılabilmesi için rapor hazırlanması amacıyla </w:t>
      </w:r>
      <w:r w:rsidRPr="00173FA0">
        <w:rPr>
          <w:rFonts w:ascii="Arial Narrow" w:hAnsi="Arial Narrow" w:cs="Times New Roman"/>
          <w:b/>
          <w:i/>
          <w:iCs/>
          <w:sz w:val="19"/>
          <w:szCs w:val="19"/>
        </w:rPr>
        <w:t>01.12.2016 tarihinde</w:t>
      </w:r>
      <w:r w:rsidRPr="00173FA0">
        <w:rPr>
          <w:rFonts w:ascii="Arial Narrow" w:hAnsi="Arial Narrow" w:cs="Times New Roman"/>
          <w:i/>
          <w:iCs/>
          <w:sz w:val="19"/>
          <w:szCs w:val="19"/>
        </w:rPr>
        <w:t xml:space="preserve"> KOM, Terörle Mücadele (TEM), İstihbarat ve Siber Suçlarla Mücadele Daire Başkanlıklarınca görevlendirilen personelden oluşan çalışma grubu kurulduğu ve </w:t>
      </w:r>
      <w:r w:rsidRPr="00173FA0">
        <w:rPr>
          <w:rFonts w:ascii="Arial Narrow" w:hAnsi="Arial Narrow" w:cs="Times New Roman"/>
          <w:b/>
          <w:i/>
          <w:iCs/>
          <w:sz w:val="19"/>
          <w:szCs w:val="19"/>
        </w:rPr>
        <w:t>02.12.2016 tarihinde verilerin incelenmeye başlandığı,</w:t>
      </w:r>
      <w:r w:rsidRPr="00173FA0">
        <w:rPr>
          <w:rFonts w:ascii="Arial Narrow" w:hAnsi="Arial Narrow" w:cs="Times New Roman"/>
          <w:i/>
          <w:iCs/>
          <w:sz w:val="19"/>
          <w:szCs w:val="19"/>
        </w:rPr>
        <w:t xml:space="preserve"> </w:t>
      </w:r>
    </w:p>
  </w:footnote>
  <w:footnote w:id="8">
    <w:p w14:paraId="7FD58134" w14:textId="77777777" w:rsidR="00695777" w:rsidRPr="00173FA0" w:rsidRDefault="00695777" w:rsidP="00173FA0">
      <w:pPr>
        <w:pStyle w:val="DipnotMetni"/>
        <w:spacing w:after="0" w:line="240" w:lineRule="auto"/>
        <w:ind w:left="567" w:hanging="567"/>
        <w:rPr>
          <w:rFonts w:ascii="Arial Narrow" w:hAnsi="Arial Narrow"/>
          <w:sz w:val="19"/>
          <w:szCs w:val="19"/>
        </w:rPr>
      </w:pPr>
      <w:r w:rsidRPr="00173FA0">
        <w:rPr>
          <w:rStyle w:val="DipnotBavurusu"/>
          <w:rFonts w:ascii="Arial Narrow" w:hAnsi="Arial Narrow"/>
          <w:sz w:val="19"/>
          <w:szCs w:val="19"/>
          <w:vertAlign w:val="baseline"/>
        </w:rPr>
        <w:footnoteRef/>
      </w:r>
      <w:r w:rsidRPr="00173FA0">
        <w:rPr>
          <w:rFonts w:ascii="Arial Narrow" w:hAnsi="Arial Narrow"/>
          <w:sz w:val="19"/>
          <w:szCs w:val="19"/>
        </w:rPr>
        <w:t xml:space="preserve"> </w:t>
      </w:r>
      <w:r w:rsidRPr="00173FA0">
        <w:rPr>
          <w:rFonts w:ascii="Arial Narrow" w:hAnsi="Arial Narrow"/>
          <w:sz w:val="19"/>
          <w:szCs w:val="19"/>
        </w:rPr>
        <w:tab/>
        <w:t>Bylock bilgi ve verilerinin istihbari çalışma sonucu elde edildiğine ilişkin MİT tarafından yapılan basın açıklaması için bkz.: https://www.mit.gov.tr/basin60.html</w:t>
      </w:r>
    </w:p>
  </w:footnote>
  <w:footnote w:id="9">
    <w:p w14:paraId="3CCAA339" w14:textId="77777777" w:rsidR="00695777" w:rsidRPr="00173FA0" w:rsidRDefault="00695777" w:rsidP="00173FA0">
      <w:pPr>
        <w:pStyle w:val="DipnotMetni"/>
        <w:spacing w:after="0" w:line="240" w:lineRule="auto"/>
        <w:ind w:left="567" w:hanging="567"/>
        <w:rPr>
          <w:rFonts w:ascii="Arial Narrow" w:hAnsi="Arial Narrow"/>
          <w:sz w:val="19"/>
          <w:szCs w:val="19"/>
        </w:rPr>
      </w:pPr>
      <w:r w:rsidRPr="00173FA0">
        <w:rPr>
          <w:rStyle w:val="DipnotBavurusu"/>
          <w:rFonts w:ascii="Arial Narrow" w:hAnsi="Arial Narrow"/>
          <w:sz w:val="19"/>
          <w:szCs w:val="19"/>
          <w:vertAlign w:val="baseline"/>
        </w:rPr>
        <w:footnoteRef/>
      </w:r>
      <w:r w:rsidRPr="00173FA0">
        <w:rPr>
          <w:rFonts w:ascii="Arial Narrow" w:hAnsi="Arial Narrow"/>
          <w:sz w:val="19"/>
          <w:szCs w:val="19"/>
        </w:rPr>
        <w:t xml:space="preserve">  </w:t>
      </w:r>
      <w:r w:rsidRPr="00173FA0">
        <w:rPr>
          <w:rFonts w:ascii="Arial Narrow" w:hAnsi="Arial Narrow"/>
          <w:sz w:val="19"/>
          <w:szCs w:val="19"/>
        </w:rPr>
        <w:tab/>
        <w:t>Yargıtay C</w:t>
      </w:r>
      <w:r w:rsidR="002A7FAB" w:rsidRPr="00173FA0">
        <w:rPr>
          <w:rFonts w:ascii="Arial Narrow" w:hAnsi="Arial Narrow"/>
          <w:sz w:val="19"/>
          <w:szCs w:val="19"/>
        </w:rPr>
        <w:t>GK</w:t>
      </w:r>
      <w:r w:rsidRPr="00173FA0">
        <w:rPr>
          <w:rFonts w:ascii="Arial Narrow" w:hAnsi="Arial Narrow"/>
          <w:sz w:val="19"/>
          <w:szCs w:val="19"/>
        </w:rPr>
        <w:t xml:space="preserve"> 17/05/2011 T., 2011/9-83 E., 2011/95 K. ve 21.10.2014 T., 2012/1283 E., 2014/430 K. </w:t>
      </w:r>
    </w:p>
  </w:footnote>
  <w:footnote w:id="10">
    <w:p w14:paraId="44E49AF2" w14:textId="77777777" w:rsidR="00695777" w:rsidRPr="00173FA0" w:rsidRDefault="00695777" w:rsidP="00173FA0">
      <w:pPr>
        <w:pStyle w:val="DipnotMetni"/>
        <w:spacing w:after="0" w:line="240" w:lineRule="auto"/>
        <w:ind w:left="567" w:hanging="567"/>
        <w:rPr>
          <w:rFonts w:ascii="Arial Narrow" w:hAnsi="Arial Narrow"/>
          <w:sz w:val="19"/>
          <w:szCs w:val="19"/>
        </w:rPr>
      </w:pPr>
      <w:r w:rsidRPr="00173FA0">
        <w:rPr>
          <w:rStyle w:val="DipnotBavurusu"/>
          <w:rFonts w:ascii="Arial Narrow" w:hAnsi="Arial Narrow"/>
          <w:sz w:val="19"/>
          <w:szCs w:val="19"/>
          <w:vertAlign w:val="baseline"/>
        </w:rPr>
        <w:footnoteRef/>
      </w:r>
      <w:r w:rsidRPr="00173FA0">
        <w:rPr>
          <w:rFonts w:ascii="Arial Narrow" w:hAnsi="Arial Narrow"/>
          <w:sz w:val="19"/>
          <w:szCs w:val="19"/>
        </w:rPr>
        <w:t xml:space="preserve"> </w:t>
      </w:r>
      <w:r w:rsidRPr="00173FA0">
        <w:rPr>
          <w:rFonts w:ascii="Arial Narrow" w:hAnsi="Arial Narrow"/>
          <w:sz w:val="19"/>
          <w:szCs w:val="19"/>
        </w:rPr>
        <w:tab/>
        <w:t>AYM’nin 30/12/2015 T., 2014/122 E., 2015/123 K. sayılı Kararı.</w:t>
      </w:r>
    </w:p>
  </w:footnote>
  <w:footnote w:id="11">
    <w:p w14:paraId="11191C92" w14:textId="77777777" w:rsidR="00695777" w:rsidRPr="00173FA0" w:rsidRDefault="00695777" w:rsidP="00173FA0">
      <w:pPr>
        <w:pStyle w:val="DIPSON"/>
        <w:keepNext/>
        <w:spacing w:line="240" w:lineRule="auto"/>
        <w:ind w:left="567" w:hanging="567"/>
        <w:rPr>
          <w:rFonts w:ascii="Arial Narrow" w:hAnsi="Arial Narrow" w:cs="Times New Roman"/>
          <w:color w:val="auto"/>
          <w:sz w:val="19"/>
          <w:szCs w:val="19"/>
        </w:rPr>
      </w:pPr>
      <w:r w:rsidRPr="00173FA0">
        <w:rPr>
          <w:rStyle w:val="DipnotBavurusu"/>
          <w:rFonts w:ascii="Arial Narrow" w:hAnsi="Arial Narrow"/>
          <w:sz w:val="19"/>
          <w:szCs w:val="19"/>
          <w:vertAlign w:val="baseline"/>
        </w:rPr>
        <w:footnoteRef/>
      </w:r>
      <w:r w:rsidRPr="00173FA0">
        <w:rPr>
          <w:rFonts w:ascii="Arial Narrow" w:hAnsi="Arial Narrow" w:cs="Times New Roman"/>
          <w:sz w:val="19"/>
          <w:szCs w:val="19"/>
        </w:rPr>
        <w:t xml:space="preserve"> </w:t>
      </w:r>
      <w:r w:rsidRPr="00173FA0">
        <w:rPr>
          <w:rFonts w:ascii="Arial Narrow" w:hAnsi="Arial Narrow" w:cs="Times New Roman"/>
          <w:sz w:val="19"/>
          <w:szCs w:val="19"/>
        </w:rPr>
        <w:tab/>
      </w:r>
      <w:r w:rsidRPr="00173FA0">
        <w:rPr>
          <w:rFonts w:ascii="Arial Narrow" w:hAnsi="Arial Narrow" w:cs="Times New Roman"/>
          <w:color w:val="auto"/>
          <w:sz w:val="19"/>
          <w:szCs w:val="19"/>
        </w:rPr>
        <w:t>Yargıtay Ceza Genel Kurulu’nun 25/11/2014 T., 2013/9-841 E., 2014/513 K. sayılı kararı.</w:t>
      </w:r>
    </w:p>
  </w:footnote>
  <w:footnote w:id="12">
    <w:p w14:paraId="0C6FDCA5" w14:textId="77777777" w:rsidR="008210BC" w:rsidRPr="00173FA0" w:rsidRDefault="008210BC" w:rsidP="00173FA0">
      <w:pPr>
        <w:pStyle w:val="DipnotMetni"/>
        <w:spacing w:after="0" w:line="240" w:lineRule="auto"/>
        <w:ind w:left="567" w:hanging="567"/>
        <w:rPr>
          <w:rFonts w:ascii="Arial Narrow" w:hAnsi="Arial Narrow"/>
          <w:sz w:val="19"/>
          <w:szCs w:val="19"/>
        </w:rPr>
      </w:pPr>
      <w:r w:rsidRPr="00173FA0">
        <w:rPr>
          <w:rStyle w:val="DipnotBavurusu"/>
          <w:rFonts w:ascii="Arial Narrow" w:hAnsi="Arial Narrow"/>
          <w:sz w:val="19"/>
          <w:szCs w:val="19"/>
          <w:vertAlign w:val="baseline"/>
        </w:rPr>
        <w:footnoteRef/>
      </w:r>
      <w:r w:rsidRPr="00173FA0">
        <w:rPr>
          <w:rFonts w:ascii="Arial Narrow" w:hAnsi="Arial Narrow"/>
          <w:sz w:val="19"/>
          <w:szCs w:val="19"/>
        </w:rPr>
        <w:t xml:space="preserve"> </w:t>
      </w:r>
      <w:r w:rsidRPr="00173FA0">
        <w:rPr>
          <w:rFonts w:ascii="Arial Narrow" w:hAnsi="Arial Narrow"/>
          <w:i/>
          <w:sz w:val="19"/>
          <w:szCs w:val="19"/>
        </w:rPr>
        <w:t xml:space="preserve"> </w:t>
      </w:r>
      <w:r w:rsidRPr="00173FA0">
        <w:rPr>
          <w:rFonts w:ascii="Arial Narrow" w:hAnsi="Arial Narrow"/>
          <w:i/>
          <w:sz w:val="19"/>
          <w:szCs w:val="19"/>
        </w:rPr>
        <w:tab/>
        <w:t xml:space="preserve"> </w:t>
      </w:r>
      <w:r w:rsidRPr="00173FA0">
        <w:rPr>
          <w:rFonts w:ascii="Arial Narrow" w:hAnsi="Arial Narrow"/>
          <w:sz w:val="19"/>
          <w:szCs w:val="19"/>
        </w:rPr>
        <w:t>Yargıtay Ceza Genel Kurulu 17.11.1986 T., 1986/6-398 E., 1986/522 K. </w:t>
      </w:r>
    </w:p>
  </w:footnote>
  <w:footnote w:id="13">
    <w:p w14:paraId="3A705586" w14:textId="77777777" w:rsidR="008210BC" w:rsidRPr="00173FA0" w:rsidRDefault="008210BC" w:rsidP="00173FA0">
      <w:pPr>
        <w:pStyle w:val="DipnotMetni"/>
        <w:spacing w:after="0" w:line="240" w:lineRule="auto"/>
        <w:ind w:left="567" w:hanging="567"/>
        <w:rPr>
          <w:rFonts w:ascii="Arial Narrow" w:hAnsi="Arial Narrow"/>
          <w:sz w:val="19"/>
          <w:szCs w:val="19"/>
        </w:rPr>
      </w:pPr>
      <w:r w:rsidRPr="00173FA0">
        <w:rPr>
          <w:rStyle w:val="DipnotBavurusu"/>
          <w:rFonts w:ascii="Arial Narrow" w:hAnsi="Arial Narrow"/>
          <w:sz w:val="19"/>
          <w:szCs w:val="19"/>
          <w:vertAlign w:val="baseline"/>
        </w:rPr>
        <w:footnoteRef/>
      </w:r>
      <w:r w:rsidRPr="00173FA0">
        <w:rPr>
          <w:rFonts w:ascii="Arial Narrow" w:hAnsi="Arial Narrow"/>
          <w:sz w:val="19"/>
          <w:szCs w:val="19"/>
        </w:rPr>
        <w:t xml:space="preserve"> </w:t>
      </w:r>
      <w:r w:rsidRPr="00173FA0">
        <w:rPr>
          <w:rFonts w:ascii="Arial Narrow" w:hAnsi="Arial Narrow"/>
          <w:sz w:val="19"/>
          <w:szCs w:val="19"/>
        </w:rPr>
        <w:tab/>
      </w:r>
      <w:r w:rsidRPr="00173FA0">
        <w:rPr>
          <w:rFonts w:ascii="Arial Narrow" w:hAnsi="Arial Narrow"/>
          <w:iCs/>
          <w:sz w:val="19"/>
          <w:szCs w:val="19"/>
        </w:rPr>
        <w:t>Yargıtay 16. Ceza Dairesi 12/9/2018 T., 2018/2944 E., 2018/2741 K.</w:t>
      </w:r>
    </w:p>
  </w:footnote>
  <w:footnote w:id="14">
    <w:p w14:paraId="028DB646" w14:textId="77777777" w:rsidR="008210BC" w:rsidRPr="00173FA0" w:rsidRDefault="008210BC" w:rsidP="00173FA0">
      <w:pPr>
        <w:pStyle w:val="NormalWeb"/>
        <w:spacing w:before="0" w:beforeAutospacing="0" w:after="0" w:afterAutospacing="0"/>
        <w:ind w:left="567" w:hanging="567"/>
        <w:jc w:val="both"/>
        <w:rPr>
          <w:rFonts w:ascii="Arial Narrow" w:eastAsia="Andale Sans UI" w:hAnsi="Arial Narrow"/>
          <w:kern w:val="1"/>
          <w:sz w:val="19"/>
          <w:szCs w:val="19"/>
        </w:rPr>
      </w:pPr>
      <w:r w:rsidRPr="00173FA0">
        <w:rPr>
          <w:rStyle w:val="DipnotBavurusu"/>
          <w:rFonts w:ascii="Arial Narrow" w:hAnsi="Arial Narrow"/>
          <w:sz w:val="19"/>
          <w:szCs w:val="19"/>
          <w:vertAlign w:val="baseline"/>
        </w:rPr>
        <w:footnoteRef/>
      </w:r>
      <w:r w:rsidRPr="00173FA0">
        <w:rPr>
          <w:rFonts w:ascii="Arial Narrow" w:hAnsi="Arial Narrow"/>
          <w:sz w:val="19"/>
          <w:szCs w:val="19"/>
        </w:rPr>
        <w:t xml:space="preserve"> </w:t>
      </w:r>
      <w:r w:rsidRPr="00173FA0">
        <w:rPr>
          <w:rFonts w:ascii="Arial Narrow" w:hAnsi="Arial Narrow"/>
          <w:i/>
          <w:sz w:val="19"/>
          <w:szCs w:val="19"/>
        </w:rPr>
        <w:tab/>
      </w:r>
      <w:r w:rsidRPr="00173FA0">
        <w:rPr>
          <w:rFonts w:ascii="Arial Narrow" w:hAnsi="Arial Narrow"/>
          <w:sz w:val="19"/>
          <w:szCs w:val="19"/>
        </w:rPr>
        <w:t>Yargıtay 9. Ceza Dairesi 28/6/2010 T., 2010/4770 E., 2010/7689 K.; 16 Ceza Dairesi 25/5/2015 T., 2015/1093 E., 2015/1439 K.; Yargıtay 6. Ceza Dairesi 07/02/2008 T., 2008/4964 E., 2008/14382 K.</w:t>
      </w:r>
    </w:p>
  </w:footnote>
  <w:footnote w:id="15">
    <w:p w14:paraId="11963E93" w14:textId="77777777" w:rsidR="008210BC" w:rsidRPr="00173FA0" w:rsidRDefault="008210BC" w:rsidP="00173FA0">
      <w:pPr>
        <w:pStyle w:val="DipnotMetni"/>
        <w:spacing w:after="0" w:line="240" w:lineRule="auto"/>
        <w:ind w:left="567" w:hanging="567"/>
        <w:rPr>
          <w:rFonts w:ascii="Arial Narrow" w:hAnsi="Arial Narrow"/>
          <w:sz w:val="19"/>
          <w:szCs w:val="19"/>
        </w:rPr>
      </w:pPr>
      <w:r w:rsidRPr="00173FA0">
        <w:rPr>
          <w:rStyle w:val="DipnotBavurusu"/>
          <w:rFonts w:ascii="Arial Narrow" w:hAnsi="Arial Narrow"/>
          <w:sz w:val="19"/>
          <w:szCs w:val="19"/>
          <w:vertAlign w:val="baseline"/>
        </w:rPr>
        <w:footnoteRef/>
      </w:r>
      <w:r w:rsidRPr="00173FA0">
        <w:rPr>
          <w:rFonts w:ascii="Arial Narrow" w:hAnsi="Arial Narrow"/>
          <w:sz w:val="19"/>
          <w:szCs w:val="19"/>
        </w:rPr>
        <w:t xml:space="preserve"> </w:t>
      </w:r>
      <w:r w:rsidRPr="00173FA0">
        <w:rPr>
          <w:rFonts w:ascii="Arial Narrow" w:hAnsi="Arial Narrow"/>
          <w:sz w:val="19"/>
          <w:szCs w:val="19"/>
        </w:rPr>
        <w:tab/>
        <w:t xml:space="preserve">Yargıtay Ceza Genel Kurulu 17/12/1996 T.,  1996/10-275 E., 1996/288 K. </w:t>
      </w:r>
    </w:p>
  </w:footnote>
  <w:footnote w:id="16">
    <w:p w14:paraId="4BEB4826" w14:textId="77777777" w:rsidR="008210BC" w:rsidRPr="00173FA0" w:rsidRDefault="008210BC" w:rsidP="00173FA0">
      <w:pPr>
        <w:pStyle w:val="DipnotMetni"/>
        <w:spacing w:after="0" w:line="240" w:lineRule="auto"/>
        <w:ind w:left="567" w:hanging="567"/>
        <w:rPr>
          <w:rFonts w:ascii="Arial Narrow" w:hAnsi="Arial Narrow"/>
          <w:sz w:val="19"/>
          <w:szCs w:val="19"/>
        </w:rPr>
      </w:pPr>
      <w:r w:rsidRPr="00173FA0">
        <w:rPr>
          <w:rStyle w:val="DipnotBavurusu"/>
          <w:rFonts w:ascii="Arial Narrow" w:hAnsi="Arial Narrow"/>
          <w:sz w:val="19"/>
          <w:szCs w:val="19"/>
          <w:vertAlign w:val="baseline"/>
        </w:rPr>
        <w:footnoteRef/>
      </w:r>
      <w:r w:rsidRPr="00173FA0">
        <w:rPr>
          <w:rFonts w:ascii="Arial Narrow" w:hAnsi="Arial Narrow"/>
          <w:sz w:val="19"/>
          <w:szCs w:val="19"/>
        </w:rPr>
        <w:t xml:space="preserve"> </w:t>
      </w:r>
      <w:r w:rsidRPr="00173FA0">
        <w:rPr>
          <w:rFonts w:ascii="Arial Narrow" w:hAnsi="Arial Narrow"/>
          <w:sz w:val="19"/>
          <w:szCs w:val="19"/>
        </w:rPr>
        <w:tab/>
        <w:t xml:space="preserve">Yargıtay Ceza Genel Kurulu 26/05/1998 T., 1998/1-110 E., 1998/181 K. </w:t>
      </w:r>
    </w:p>
  </w:footnote>
  <w:footnote w:id="17">
    <w:p w14:paraId="1C3BB3DF" w14:textId="77777777" w:rsidR="008210BC" w:rsidRPr="00173FA0" w:rsidRDefault="008210BC" w:rsidP="00173FA0">
      <w:pPr>
        <w:pStyle w:val="DipnotMetni"/>
        <w:spacing w:after="0" w:line="240" w:lineRule="auto"/>
        <w:ind w:left="567" w:hanging="567"/>
        <w:rPr>
          <w:rFonts w:ascii="Arial Narrow" w:hAnsi="Arial Narrow"/>
          <w:sz w:val="19"/>
          <w:szCs w:val="19"/>
        </w:rPr>
      </w:pPr>
      <w:r w:rsidRPr="00173FA0">
        <w:rPr>
          <w:rStyle w:val="DipnotBavurusu"/>
          <w:rFonts w:ascii="Arial Narrow" w:hAnsi="Arial Narrow"/>
          <w:sz w:val="19"/>
          <w:szCs w:val="19"/>
          <w:vertAlign w:val="baseline"/>
        </w:rPr>
        <w:footnoteRef/>
      </w:r>
      <w:r w:rsidRPr="00173FA0">
        <w:rPr>
          <w:rFonts w:ascii="Arial Narrow" w:hAnsi="Arial Narrow"/>
          <w:sz w:val="19"/>
          <w:szCs w:val="19"/>
        </w:rPr>
        <w:t xml:space="preserve">  </w:t>
      </w:r>
      <w:r w:rsidRPr="00173FA0">
        <w:rPr>
          <w:rFonts w:ascii="Arial Narrow" w:hAnsi="Arial Narrow"/>
          <w:sz w:val="19"/>
          <w:szCs w:val="19"/>
        </w:rPr>
        <w:tab/>
      </w:r>
      <w:r w:rsidRPr="00173FA0">
        <w:rPr>
          <w:rFonts w:ascii="Arial Narrow" w:hAnsi="Arial Narrow"/>
          <w:i/>
          <w:sz w:val="19"/>
          <w:szCs w:val="19"/>
        </w:rPr>
        <w:t>Van Mechelen ve Diğerleri/Hollanda</w:t>
      </w:r>
      <w:r w:rsidRPr="00173FA0">
        <w:rPr>
          <w:rFonts w:ascii="Arial Narrow" w:hAnsi="Arial Narrow"/>
          <w:sz w:val="19"/>
          <w:szCs w:val="19"/>
        </w:rPr>
        <w:t xml:space="preserve">, B. No: 22056/93, 23/4/1997, </w:t>
      </w:r>
      <w:r w:rsidRPr="00173FA0">
        <w:rPr>
          <w:rFonts w:ascii="Arial Narrow" w:hAnsi="Arial Narrow"/>
          <w:color w:val="000000"/>
          <w:sz w:val="19"/>
          <w:szCs w:val="19"/>
          <w:shd w:val="clear" w:color="auto" w:fill="FFFFFF"/>
        </w:rPr>
        <w:t xml:space="preserve">§§ </w:t>
      </w:r>
      <w:r w:rsidRPr="00173FA0">
        <w:rPr>
          <w:rFonts w:ascii="Arial Narrow" w:hAnsi="Arial Narrow"/>
          <w:sz w:val="19"/>
          <w:szCs w:val="19"/>
        </w:rPr>
        <w:t xml:space="preserve">53-54; </w:t>
      </w:r>
      <w:r w:rsidRPr="00173FA0">
        <w:rPr>
          <w:rFonts w:ascii="Arial Narrow" w:hAnsi="Arial Narrow"/>
          <w:i/>
          <w:sz w:val="19"/>
          <w:szCs w:val="19"/>
        </w:rPr>
        <w:t>Labita/İtalya</w:t>
      </w:r>
      <w:r w:rsidRPr="00173FA0">
        <w:rPr>
          <w:rFonts w:ascii="Arial Narrow" w:hAnsi="Arial Narrow"/>
          <w:sz w:val="19"/>
          <w:szCs w:val="19"/>
        </w:rPr>
        <w:t xml:space="preserve">, B. No: 26772/95, 06/4/2000, </w:t>
      </w:r>
      <w:r w:rsidRPr="00173FA0">
        <w:rPr>
          <w:rFonts w:ascii="Arial Narrow" w:hAnsi="Arial Narrow"/>
          <w:color w:val="000000"/>
          <w:sz w:val="19"/>
          <w:szCs w:val="19"/>
          <w:shd w:val="clear" w:color="auto" w:fill="FFFFFF"/>
        </w:rPr>
        <w:t>§§</w:t>
      </w:r>
      <w:r w:rsidRPr="00173FA0">
        <w:rPr>
          <w:rFonts w:ascii="Arial Narrow" w:hAnsi="Arial Narrow"/>
          <w:sz w:val="19"/>
          <w:szCs w:val="19"/>
        </w:rPr>
        <w:t xml:space="preserve"> 156 vd; </w:t>
      </w:r>
      <w:r w:rsidRPr="00173FA0">
        <w:rPr>
          <w:rFonts w:ascii="Arial Narrow" w:hAnsi="Arial Narrow"/>
          <w:i/>
          <w:sz w:val="19"/>
          <w:szCs w:val="19"/>
        </w:rPr>
        <w:t>Adamco/Slovakya</w:t>
      </w:r>
      <w:r w:rsidRPr="00173FA0">
        <w:rPr>
          <w:rFonts w:ascii="Arial Narrow" w:hAnsi="Arial Narrow"/>
          <w:sz w:val="19"/>
          <w:szCs w:val="19"/>
        </w:rPr>
        <w:t xml:space="preserve">, B. No: 45084/14, 12/11/2019, </w:t>
      </w:r>
      <w:r w:rsidRPr="00173FA0">
        <w:rPr>
          <w:rFonts w:ascii="Arial Narrow" w:hAnsi="Arial Narrow"/>
          <w:color w:val="000000"/>
          <w:sz w:val="19"/>
          <w:szCs w:val="19"/>
          <w:shd w:val="clear" w:color="auto" w:fill="FFFFFF"/>
        </w:rPr>
        <w:t>§§ 68-71.</w:t>
      </w:r>
    </w:p>
  </w:footnote>
  <w:footnote w:id="18">
    <w:p w14:paraId="5B66432E" w14:textId="77777777" w:rsidR="00D64D5A" w:rsidRPr="00173FA0" w:rsidRDefault="00D64D5A" w:rsidP="00173FA0">
      <w:pPr>
        <w:pStyle w:val="DipnotMetni"/>
        <w:spacing w:after="0" w:line="240" w:lineRule="auto"/>
        <w:ind w:left="567" w:hanging="567"/>
        <w:rPr>
          <w:rFonts w:ascii="Arial Narrow" w:hAnsi="Arial Narrow"/>
          <w:sz w:val="19"/>
          <w:szCs w:val="19"/>
        </w:rPr>
      </w:pPr>
      <w:r w:rsidRPr="00173FA0">
        <w:rPr>
          <w:rStyle w:val="DipnotBavurusu"/>
          <w:rFonts w:ascii="Arial Narrow" w:hAnsi="Arial Narrow"/>
          <w:sz w:val="19"/>
          <w:szCs w:val="19"/>
          <w:vertAlign w:val="baseline"/>
        </w:rPr>
        <w:footnoteRef/>
      </w:r>
      <w:r w:rsidR="006038F0" w:rsidRPr="00173FA0">
        <w:rPr>
          <w:rFonts w:ascii="Arial Narrow" w:hAnsi="Arial Narrow"/>
          <w:sz w:val="19"/>
          <w:szCs w:val="19"/>
        </w:rPr>
        <w:t xml:space="preserve">  </w:t>
      </w:r>
      <w:r w:rsidRPr="00173FA0">
        <w:rPr>
          <w:rFonts w:ascii="Arial Narrow" w:hAnsi="Arial Narrow"/>
          <w:sz w:val="19"/>
          <w:szCs w:val="19"/>
        </w:rPr>
        <w:t>Yargıtay 16. Ceza Dairesinin 21/10/2019 T., 2019/3373 E., 2019/6418 K. sayılı kararı</w:t>
      </w:r>
    </w:p>
  </w:footnote>
  <w:footnote w:id="19">
    <w:p w14:paraId="7D2C2BCD" w14:textId="77777777" w:rsidR="00D64D5A" w:rsidRPr="00173FA0" w:rsidRDefault="00D64D5A" w:rsidP="00173FA0">
      <w:pPr>
        <w:pStyle w:val="DipnotMetni"/>
        <w:spacing w:after="0" w:line="240" w:lineRule="auto"/>
        <w:ind w:left="567" w:hanging="567"/>
        <w:rPr>
          <w:rFonts w:ascii="Arial Narrow" w:hAnsi="Arial Narrow"/>
          <w:sz w:val="19"/>
          <w:szCs w:val="19"/>
        </w:rPr>
      </w:pPr>
      <w:r w:rsidRPr="00173FA0">
        <w:rPr>
          <w:rStyle w:val="DipnotBavurusu"/>
          <w:rFonts w:ascii="Arial Narrow" w:hAnsi="Arial Narrow"/>
          <w:sz w:val="19"/>
          <w:szCs w:val="19"/>
          <w:vertAlign w:val="baseline"/>
        </w:rPr>
        <w:footnoteRef/>
      </w:r>
      <w:r w:rsidR="006038F0" w:rsidRPr="00173FA0">
        <w:rPr>
          <w:rFonts w:ascii="Arial Narrow" w:hAnsi="Arial Narrow"/>
          <w:sz w:val="19"/>
          <w:szCs w:val="19"/>
        </w:rPr>
        <w:t xml:space="preserve">  </w:t>
      </w:r>
      <w:r w:rsidRPr="00173FA0">
        <w:rPr>
          <w:rFonts w:ascii="Arial Narrow" w:hAnsi="Arial Narrow"/>
          <w:sz w:val="19"/>
          <w:szCs w:val="19"/>
        </w:rPr>
        <w:t>AYM’nin Sencer Başat ve diğerleri kararı, B. No: 2013/7800, 18/6/2014; AYM’nin Yankı Bağcıoğlu ve diğerleri kararı, B. No: 2014/253, 09/01/2015</w:t>
      </w:r>
    </w:p>
  </w:footnote>
  <w:footnote w:id="20">
    <w:p w14:paraId="22994D7D" w14:textId="77777777" w:rsidR="00D64D5A" w:rsidRPr="00173FA0" w:rsidRDefault="00D64D5A" w:rsidP="00173FA0">
      <w:pPr>
        <w:pStyle w:val="DipnotMetni"/>
        <w:spacing w:after="0" w:line="240" w:lineRule="auto"/>
        <w:ind w:left="567" w:hanging="567"/>
        <w:rPr>
          <w:rFonts w:ascii="Arial Narrow" w:hAnsi="Arial Narrow"/>
          <w:sz w:val="19"/>
          <w:szCs w:val="19"/>
        </w:rPr>
      </w:pPr>
      <w:r w:rsidRPr="00173FA0">
        <w:rPr>
          <w:rStyle w:val="DipnotBavurusu"/>
          <w:rFonts w:ascii="Arial Narrow" w:hAnsi="Arial Narrow"/>
          <w:sz w:val="19"/>
          <w:szCs w:val="19"/>
          <w:vertAlign w:val="baseline"/>
        </w:rPr>
        <w:footnoteRef/>
      </w:r>
      <w:r w:rsidRPr="00173FA0">
        <w:rPr>
          <w:rFonts w:ascii="Arial Narrow" w:hAnsi="Arial Narrow"/>
          <w:sz w:val="19"/>
          <w:szCs w:val="19"/>
        </w:rPr>
        <w:t xml:space="preserve"> Bilgilerin elde edilişi ve içeriğindeki çelişki ve hukuka aykırılıklar için ayrıntılı çalışmalar için bkz. https://www.hukukibilgiplatformu.com/ </w:t>
      </w:r>
    </w:p>
  </w:footnote>
  <w:footnote w:id="21">
    <w:p w14:paraId="6E3E6B2E" w14:textId="77777777" w:rsidR="00D64D5A" w:rsidRPr="00173FA0" w:rsidRDefault="00D64D5A" w:rsidP="00173FA0">
      <w:pPr>
        <w:pStyle w:val="DipnotMetni"/>
        <w:spacing w:after="0" w:line="240" w:lineRule="auto"/>
        <w:ind w:left="567" w:hanging="567"/>
        <w:rPr>
          <w:rFonts w:ascii="Arial Narrow" w:hAnsi="Arial Narrow"/>
          <w:sz w:val="19"/>
          <w:szCs w:val="19"/>
        </w:rPr>
      </w:pPr>
      <w:r w:rsidRPr="00173FA0">
        <w:rPr>
          <w:rStyle w:val="DipnotBavurusu"/>
          <w:rFonts w:ascii="Arial Narrow" w:hAnsi="Arial Narrow"/>
          <w:sz w:val="19"/>
          <w:szCs w:val="19"/>
          <w:vertAlign w:val="baseline"/>
        </w:rPr>
        <w:footnoteRef/>
      </w:r>
      <w:r w:rsidRPr="00173FA0">
        <w:rPr>
          <w:rFonts w:ascii="Arial Narrow" w:hAnsi="Arial Narrow"/>
          <w:sz w:val="19"/>
          <w:szCs w:val="19"/>
        </w:rPr>
        <w:t xml:space="preserve"> </w:t>
      </w:r>
      <w:r w:rsidR="006038F0" w:rsidRPr="00173FA0">
        <w:rPr>
          <w:rFonts w:ascii="Arial Narrow" w:hAnsi="Arial Narrow"/>
          <w:sz w:val="19"/>
          <w:szCs w:val="19"/>
        </w:rPr>
        <w:t xml:space="preserve"> </w:t>
      </w:r>
      <w:r w:rsidRPr="00173FA0">
        <w:rPr>
          <w:rFonts w:ascii="Arial Narrow" w:hAnsi="Arial Narrow"/>
          <w:sz w:val="19"/>
          <w:szCs w:val="19"/>
        </w:rPr>
        <w:t>Yargıtay Ceza Genel Kurulunun 11/02/2020 T., 2016/698 E., 2020/86 K.</w:t>
      </w:r>
    </w:p>
  </w:footnote>
  <w:footnote w:id="22">
    <w:p w14:paraId="6BA2BB72" w14:textId="77777777" w:rsidR="00D64D5A" w:rsidRPr="00173FA0" w:rsidRDefault="00D64D5A" w:rsidP="00173FA0">
      <w:pPr>
        <w:pStyle w:val="DipnotMetni"/>
        <w:spacing w:after="0" w:line="240" w:lineRule="auto"/>
        <w:ind w:left="567" w:hanging="567"/>
        <w:rPr>
          <w:rFonts w:ascii="Arial Narrow" w:hAnsi="Arial Narrow"/>
          <w:sz w:val="19"/>
          <w:szCs w:val="19"/>
        </w:rPr>
      </w:pPr>
      <w:r w:rsidRPr="00173FA0">
        <w:rPr>
          <w:rStyle w:val="DipnotBavurusu"/>
          <w:rFonts w:ascii="Arial Narrow" w:hAnsi="Arial Narrow"/>
          <w:sz w:val="19"/>
          <w:szCs w:val="19"/>
          <w:vertAlign w:val="baseline"/>
        </w:rPr>
        <w:footnoteRef/>
      </w:r>
      <w:r w:rsidRPr="00173FA0">
        <w:rPr>
          <w:rFonts w:ascii="Arial Narrow" w:hAnsi="Arial Narrow"/>
          <w:sz w:val="19"/>
          <w:szCs w:val="19"/>
        </w:rPr>
        <w:t xml:space="preserve">   </w:t>
      </w:r>
      <w:r w:rsidRPr="00173FA0">
        <w:rPr>
          <w:rFonts w:ascii="Arial Narrow" w:hAnsi="Arial Narrow"/>
          <w:i/>
          <w:sz w:val="19"/>
          <w:szCs w:val="19"/>
        </w:rPr>
        <w:t>Rotaru/Romanya</w:t>
      </w:r>
      <w:r w:rsidRPr="00173FA0">
        <w:rPr>
          <w:rFonts w:ascii="Arial Narrow" w:hAnsi="Arial Narrow"/>
          <w:sz w:val="19"/>
          <w:szCs w:val="19"/>
        </w:rPr>
        <w:t xml:space="preserve">, [BD], B. No: 23841/95, 04/5/2000, § 43-44; </w:t>
      </w:r>
      <w:r w:rsidRPr="00173FA0">
        <w:rPr>
          <w:rFonts w:ascii="Arial Narrow" w:hAnsi="Arial Narrow"/>
          <w:i/>
          <w:sz w:val="19"/>
          <w:szCs w:val="19"/>
        </w:rPr>
        <w:t>Segerstedt-Wiberg ve Diğerleri/İsveç</w:t>
      </w:r>
      <w:r w:rsidRPr="00173FA0">
        <w:rPr>
          <w:rFonts w:ascii="Arial Narrow" w:hAnsi="Arial Narrow"/>
          <w:sz w:val="19"/>
          <w:szCs w:val="19"/>
        </w:rPr>
        <w:t xml:space="preserve">, B. No: 62332/00, 06/9/2006, § 72; </w:t>
      </w:r>
      <w:r w:rsidRPr="00173FA0">
        <w:rPr>
          <w:rFonts w:ascii="Arial Narrow" w:hAnsi="Arial Narrow"/>
          <w:i/>
          <w:sz w:val="19"/>
          <w:szCs w:val="19"/>
        </w:rPr>
        <w:t>Cemalettin Canlı/Türkiye</w:t>
      </w:r>
      <w:r w:rsidRPr="00173FA0">
        <w:rPr>
          <w:rFonts w:ascii="Arial Narrow" w:hAnsi="Arial Narrow"/>
          <w:sz w:val="19"/>
          <w:szCs w:val="19"/>
        </w:rPr>
        <w:t>, B. No: 22427/04, 18/02/2009, § 43.</w:t>
      </w:r>
    </w:p>
  </w:footnote>
  <w:footnote w:id="23">
    <w:p w14:paraId="6D99C0B8" w14:textId="61941E51" w:rsidR="008C311B" w:rsidRPr="00173FA0" w:rsidRDefault="008C311B" w:rsidP="00173FA0">
      <w:pPr>
        <w:pStyle w:val="DipnotMetni"/>
        <w:spacing w:after="0" w:line="240" w:lineRule="auto"/>
        <w:ind w:left="567" w:hanging="567"/>
        <w:rPr>
          <w:rFonts w:ascii="Arial Narrow" w:hAnsi="Arial Narrow"/>
          <w:sz w:val="19"/>
          <w:szCs w:val="19"/>
        </w:rPr>
      </w:pPr>
      <w:r w:rsidRPr="00173FA0">
        <w:rPr>
          <w:rStyle w:val="DipnotBavurusu"/>
          <w:rFonts w:ascii="Arial Narrow" w:hAnsi="Arial Narrow"/>
          <w:sz w:val="19"/>
          <w:szCs w:val="19"/>
        </w:rPr>
        <w:footnoteRef/>
      </w:r>
      <w:r w:rsidRPr="00173FA0">
        <w:rPr>
          <w:rFonts w:ascii="Arial Narrow" w:hAnsi="Arial Narrow"/>
          <w:sz w:val="19"/>
          <w:szCs w:val="19"/>
        </w:rPr>
        <w:t xml:space="preserve"> </w:t>
      </w:r>
      <w:r w:rsidRPr="00173FA0">
        <w:rPr>
          <w:rFonts w:ascii="Arial Narrow" w:hAnsi="Arial Narrow"/>
          <w:sz w:val="19"/>
          <w:szCs w:val="19"/>
        </w:rPr>
        <w:tab/>
        <w:t xml:space="preserve">Yargıtay 9. Ceza Dairesinin 05/7/1996 T., 1996/1935 E., 1996/4324 K., (Devrimci Halk Kurtuluş Partisi Cephesi (DHKP/C);  27/10/1999T., 1999/245 E., 1999/3449 K., (THKP/C - DEV-SOL Silahlı Devrimci Birlikler (SDB); </w:t>
      </w:r>
    </w:p>
  </w:footnote>
  <w:footnote w:id="24">
    <w:p w14:paraId="3E834449" w14:textId="77777777" w:rsidR="008C311B" w:rsidRPr="00173FA0" w:rsidRDefault="008C311B" w:rsidP="00173FA0">
      <w:pPr>
        <w:pStyle w:val="JuPara"/>
        <w:ind w:left="567" w:hanging="567"/>
        <w:rPr>
          <w:rFonts w:ascii="Arial Narrow" w:hAnsi="Arial Narrow"/>
          <w:sz w:val="19"/>
          <w:szCs w:val="19"/>
          <w:lang w:val="tr-TR"/>
        </w:rPr>
      </w:pPr>
      <w:r w:rsidRPr="00173FA0">
        <w:rPr>
          <w:rStyle w:val="DipnotBavurusu"/>
          <w:rFonts w:ascii="Arial Narrow" w:hAnsi="Arial Narrow"/>
          <w:sz w:val="19"/>
          <w:szCs w:val="19"/>
        </w:rPr>
        <w:footnoteRef/>
      </w:r>
      <w:r w:rsidRPr="00173FA0">
        <w:rPr>
          <w:rFonts w:ascii="Arial Narrow" w:hAnsi="Arial Narrow"/>
          <w:sz w:val="19"/>
          <w:szCs w:val="19"/>
          <w:lang w:val="tr-TR"/>
        </w:rPr>
        <w:t xml:space="preserve"> </w:t>
      </w:r>
      <w:r w:rsidRPr="00173FA0">
        <w:rPr>
          <w:rFonts w:ascii="Arial Narrow" w:hAnsi="Arial Narrow"/>
          <w:sz w:val="19"/>
          <w:szCs w:val="19"/>
          <w:lang w:val="tr-TR"/>
        </w:rPr>
        <w:tab/>
        <w:t>Yargıtay Ceza Genel Kurulunun 26/9/2017 T., 2017/16-956 E., 2017/370 K.</w:t>
      </w:r>
    </w:p>
    <w:p w14:paraId="4CDF7EA8" w14:textId="77777777" w:rsidR="008C311B" w:rsidRPr="00173FA0" w:rsidRDefault="008C311B" w:rsidP="00173FA0">
      <w:pPr>
        <w:pStyle w:val="DipnotMetni"/>
        <w:ind w:left="567" w:hanging="567"/>
        <w:rPr>
          <w:rFonts w:ascii="Arial Narrow" w:hAnsi="Arial Narrow"/>
          <w:sz w:val="19"/>
          <w:szCs w:val="19"/>
        </w:rPr>
      </w:pPr>
    </w:p>
  </w:footnote>
  <w:footnote w:id="25">
    <w:p w14:paraId="350AE094" w14:textId="77777777" w:rsidR="008C311B" w:rsidRPr="00173FA0" w:rsidRDefault="008C311B" w:rsidP="00173FA0">
      <w:pPr>
        <w:pStyle w:val="DipnotMetni"/>
        <w:ind w:left="567" w:hanging="567"/>
        <w:rPr>
          <w:rFonts w:ascii="Arial Narrow" w:hAnsi="Arial Narrow"/>
          <w:sz w:val="19"/>
          <w:szCs w:val="19"/>
        </w:rPr>
      </w:pPr>
      <w:r w:rsidRPr="00173FA0">
        <w:rPr>
          <w:rStyle w:val="DipnotBavurusu"/>
          <w:rFonts w:ascii="Arial Narrow" w:hAnsi="Arial Narrow"/>
          <w:sz w:val="19"/>
          <w:szCs w:val="19"/>
        </w:rPr>
        <w:footnoteRef/>
      </w:r>
      <w:r w:rsidRPr="00173FA0">
        <w:rPr>
          <w:rFonts w:ascii="Arial Narrow" w:hAnsi="Arial Narrow"/>
          <w:sz w:val="19"/>
          <w:szCs w:val="19"/>
        </w:rPr>
        <w:t xml:space="preserve">  </w:t>
      </w:r>
      <w:r w:rsidRPr="00173FA0">
        <w:rPr>
          <w:rFonts w:ascii="Arial Narrow" w:hAnsi="Arial Narrow"/>
          <w:sz w:val="19"/>
          <w:szCs w:val="19"/>
        </w:rPr>
        <w:tab/>
        <w:t>[BD], B. No:22429/07 ve 25195/07, 03/12/2019.</w:t>
      </w:r>
    </w:p>
  </w:footnote>
  <w:footnote w:id="26">
    <w:p w14:paraId="7D5656AB" w14:textId="77777777" w:rsidR="008C311B" w:rsidRPr="00173FA0" w:rsidRDefault="008C311B" w:rsidP="00173FA0">
      <w:pPr>
        <w:pStyle w:val="DipnotMetni"/>
        <w:spacing w:after="0" w:line="240" w:lineRule="auto"/>
        <w:ind w:left="567" w:hanging="567"/>
        <w:rPr>
          <w:rFonts w:ascii="Arial Narrow" w:hAnsi="Arial Narrow"/>
          <w:sz w:val="19"/>
          <w:szCs w:val="19"/>
        </w:rPr>
      </w:pPr>
      <w:r w:rsidRPr="00173FA0">
        <w:rPr>
          <w:rStyle w:val="DipnotBavurusu"/>
          <w:rFonts w:ascii="Arial Narrow" w:hAnsi="Arial Narrow"/>
          <w:sz w:val="19"/>
          <w:szCs w:val="19"/>
          <w:vertAlign w:val="baseline"/>
        </w:rPr>
        <w:footnoteRef/>
      </w:r>
      <w:r w:rsidRPr="00173FA0">
        <w:rPr>
          <w:rFonts w:ascii="Arial Narrow" w:hAnsi="Arial Narrow"/>
          <w:sz w:val="19"/>
          <w:szCs w:val="19"/>
        </w:rPr>
        <w:t xml:space="preserve"> </w:t>
      </w:r>
      <w:r w:rsidRPr="00173FA0">
        <w:rPr>
          <w:rFonts w:ascii="Arial Narrow" w:hAnsi="Arial Narrow"/>
          <w:sz w:val="19"/>
          <w:szCs w:val="19"/>
        </w:rPr>
        <w:tab/>
      </w:r>
      <w:r w:rsidRPr="00173FA0">
        <w:rPr>
          <w:rFonts w:ascii="Arial Narrow" w:hAnsi="Arial Narrow"/>
          <w:color w:val="333333"/>
          <w:sz w:val="19"/>
          <w:szCs w:val="19"/>
          <w:shd w:val="clear" w:color="auto" w:fill="FFFFFF"/>
        </w:rPr>
        <w:t>Yargıtay 9. Ceza Dairesi 07.3.2002 T., 2001/2894 E., 2002/437 K.</w:t>
      </w:r>
    </w:p>
  </w:footnote>
  <w:footnote w:id="27">
    <w:p w14:paraId="7447D435" w14:textId="77777777" w:rsidR="008C311B" w:rsidRPr="00173FA0" w:rsidRDefault="008C311B" w:rsidP="00173FA0">
      <w:pPr>
        <w:pStyle w:val="DipnotMetni"/>
        <w:spacing w:after="0" w:line="240" w:lineRule="auto"/>
        <w:ind w:left="567" w:hanging="567"/>
        <w:rPr>
          <w:rFonts w:ascii="Arial Narrow" w:eastAsia="Times New Roman" w:hAnsi="Arial Narrow"/>
          <w:color w:val="222222"/>
          <w:sz w:val="19"/>
          <w:szCs w:val="19"/>
          <w:lang w:eastAsia="en-GB"/>
        </w:rPr>
      </w:pPr>
      <w:r w:rsidRPr="00173FA0">
        <w:rPr>
          <w:rStyle w:val="DipnotBavurusu"/>
          <w:rFonts w:ascii="Arial Narrow" w:hAnsi="Arial Narrow"/>
          <w:sz w:val="19"/>
          <w:szCs w:val="19"/>
          <w:vertAlign w:val="baseline"/>
        </w:rPr>
        <w:footnoteRef/>
      </w:r>
      <w:r w:rsidRPr="00173FA0">
        <w:rPr>
          <w:rFonts w:ascii="Arial Narrow" w:hAnsi="Arial Narrow"/>
          <w:sz w:val="19"/>
          <w:szCs w:val="19"/>
        </w:rPr>
        <w:t xml:space="preserve">  </w:t>
      </w:r>
      <w:r w:rsidRPr="00173FA0">
        <w:rPr>
          <w:rFonts w:ascii="Arial Narrow" w:hAnsi="Arial Narrow"/>
          <w:sz w:val="19"/>
          <w:szCs w:val="19"/>
        </w:rPr>
        <w:tab/>
      </w:r>
      <w:r w:rsidRPr="00173FA0">
        <w:rPr>
          <w:rFonts w:ascii="Arial Narrow" w:hAnsi="Arial Narrow"/>
          <w:i/>
          <w:sz w:val="19"/>
          <w:szCs w:val="19"/>
        </w:rPr>
        <w:t>Selahattin Demirtaş/Türkiye (no. 2)</w:t>
      </w:r>
      <w:r w:rsidRPr="00173FA0">
        <w:rPr>
          <w:rFonts w:ascii="Arial Narrow" w:hAnsi="Arial Narrow"/>
          <w:sz w:val="19"/>
          <w:szCs w:val="19"/>
        </w:rPr>
        <w:t xml:space="preserve"> [BD], B. No: </w:t>
      </w:r>
      <w:r w:rsidRPr="00173FA0">
        <w:rPr>
          <w:rFonts w:ascii="Arial Narrow" w:eastAsia="Times New Roman" w:hAnsi="Arial Narrow"/>
          <w:color w:val="222222"/>
          <w:sz w:val="19"/>
          <w:szCs w:val="19"/>
          <w:lang w:eastAsia="en-GB"/>
        </w:rPr>
        <w:t xml:space="preserve">14305/17, 22/12/2020, </w:t>
      </w:r>
      <w:r w:rsidRPr="00173FA0">
        <w:rPr>
          <w:rFonts w:ascii="Arial Narrow" w:hAnsi="Arial Narrow"/>
          <w:sz w:val="19"/>
          <w:szCs w:val="19"/>
        </w:rPr>
        <w:t xml:space="preserve">§ 280 ve 337. Ayrıca, kıyasen bkz. </w:t>
      </w:r>
      <w:r w:rsidRPr="00173FA0">
        <w:rPr>
          <w:rFonts w:ascii="Arial Narrow" w:hAnsi="Arial Narrow"/>
          <w:i/>
          <w:sz w:val="19"/>
          <w:szCs w:val="19"/>
        </w:rPr>
        <w:t>Ragıp Zarakolu/Türkiye</w:t>
      </w:r>
      <w:r w:rsidRPr="00173FA0">
        <w:rPr>
          <w:rFonts w:ascii="Arial Narrow" w:hAnsi="Arial Narrow"/>
          <w:sz w:val="19"/>
          <w:szCs w:val="19"/>
        </w:rPr>
        <w:t xml:space="preserve">, B. </w:t>
      </w:r>
      <w:r w:rsidRPr="00173FA0">
        <w:rPr>
          <w:rFonts w:ascii="Arial Narrow" w:eastAsia="Times New Roman" w:hAnsi="Arial Narrow"/>
          <w:color w:val="212121"/>
          <w:sz w:val="19"/>
          <w:szCs w:val="19"/>
          <w:lang w:eastAsia="en-GB"/>
        </w:rPr>
        <w:t xml:space="preserve">No: 15064/12, 15/9/2020, </w:t>
      </w:r>
      <w:r w:rsidRPr="00173FA0">
        <w:rPr>
          <w:rFonts w:ascii="Arial Narrow" w:hAnsi="Arial Narrow"/>
          <w:sz w:val="19"/>
          <w:szCs w:val="19"/>
        </w:rPr>
        <w:t xml:space="preserve">§§ 44-46; </w:t>
      </w:r>
      <w:r w:rsidRPr="00173FA0">
        <w:rPr>
          <w:rFonts w:ascii="Arial Narrow" w:hAnsi="Arial Narrow"/>
          <w:i/>
          <w:sz w:val="19"/>
          <w:szCs w:val="19"/>
        </w:rPr>
        <w:t>Atilla Taş/</w:t>
      </w:r>
      <w:r w:rsidRPr="00173FA0">
        <w:rPr>
          <w:rFonts w:ascii="Arial Narrow" w:eastAsia="Times New Roman" w:hAnsi="Arial Narrow"/>
          <w:i/>
          <w:color w:val="222222"/>
          <w:sz w:val="19"/>
          <w:szCs w:val="19"/>
          <w:lang w:eastAsia="en-GB"/>
        </w:rPr>
        <w:t>Türkiye</w:t>
      </w:r>
      <w:r w:rsidRPr="00173FA0">
        <w:rPr>
          <w:rFonts w:ascii="Arial Narrow" w:eastAsia="Times New Roman" w:hAnsi="Arial Narrow"/>
          <w:color w:val="222222"/>
          <w:sz w:val="19"/>
          <w:szCs w:val="19"/>
          <w:lang w:eastAsia="en-GB"/>
        </w:rPr>
        <w:t xml:space="preserve">, B. No: 72/17, 19/1/2021, §§ 137-139; </w:t>
      </w:r>
      <w:r w:rsidRPr="00173FA0">
        <w:rPr>
          <w:rFonts w:ascii="Arial Narrow" w:hAnsi="Arial Narrow"/>
          <w:i/>
          <w:sz w:val="19"/>
          <w:szCs w:val="19"/>
        </w:rPr>
        <w:t>İmret/Türkiye</w:t>
      </w:r>
      <w:r w:rsidRPr="00173FA0">
        <w:rPr>
          <w:rFonts w:ascii="Arial Narrow" w:hAnsi="Arial Narrow"/>
          <w:sz w:val="19"/>
          <w:szCs w:val="19"/>
        </w:rPr>
        <w:t xml:space="preserve">, B. No: 57316/10, 10/7/2018, § 58; </w:t>
      </w:r>
      <w:r w:rsidRPr="00173FA0">
        <w:rPr>
          <w:rFonts w:ascii="Arial Narrow" w:hAnsi="Arial Narrow"/>
          <w:i/>
          <w:sz w:val="19"/>
          <w:szCs w:val="19"/>
        </w:rPr>
        <w:t>Işıkırık/Türkiye</w:t>
      </w:r>
      <w:r w:rsidRPr="00173FA0">
        <w:rPr>
          <w:rFonts w:ascii="Arial Narrow" w:hAnsi="Arial Narrow"/>
          <w:sz w:val="19"/>
          <w:szCs w:val="19"/>
        </w:rPr>
        <w:t>, B. No: 41226/09, 14/11/2017.</w:t>
      </w:r>
    </w:p>
  </w:footnote>
  <w:footnote w:id="28">
    <w:p w14:paraId="02A4D94A" w14:textId="74EECC10" w:rsidR="008C311B" w:rsidRPr="00173FA0" w:rsidRDefault="008C311B" w:rsidP="00173FA0">
      <w:pPr>
        <w:pStyle w:val="DipnotMetni"/>
        <w:spacing w:after="0" w:line="240" w:lineRule="auto"/>
        <w:ind w:left="567" w:hanging="567"/>
        <w:rPr>
          <w:rFonts w:ascii="Arial Narrow" w:hAnsi="Arial Narrow"/>
          <w:sz w:val="19"/>
          <w:szCs w:val="19"/>
        </w:rPr>
      </w:pPr>
      <w:r w:rsidRPr="00173FA0">
        <w:rPr>
          <w:rStyle w:val="DipnotBavurusu"/>
          <w:rFonts w:ascii="Arial Narrow" w:hAnsi="Arial Narrow"/>
          <w:sz w:val="19"/>
          <w:szCs w:val="19"/>
          <w:vertAlign w:val="baseline"/>
        </w:rPr>
        <w:footnoteRef/>
      </w:r>
      <w:r w:rsidRPr="00173FA0">
        <w:rPr>
          <w:rFonts w:ascii="Arial Narrow" w:hAnsi="Arial Narrow"/>
          <w:sz w:val="19"/>
          <w:szCs w:val="19"/>
        </w:rPr>
        <w:t xml:space="preserve">  </w:t>
      </w:r>
      <w:r w:rsidR="00173FA0" w:rsidRPr="00173FA0">
        <w:rPr>
          <w:rFonts w:ascii="Arial Narrow" w:hAnsi="Arial Narrow"/>
          <w:sz w:val="19"/>
          <w:szCs w:val="19"/>
        </w:rPr>
        <w:tab/>
      </w:r>
      <w:r w:rsidRPr="00173FA0">
        <w:rPr>
          <w:rFonts w:ascii="Arial Narrow" w:hAnsi="Arial Narrow"/>
          <w:i/>
          <w:sz w:val="19"/>
          <w:szCs w:val="19"/>
        </w:rPr>
        <w:t>Selahattin Demirtaş/Türkiye (no. 2)</w:t>
      </w:r>
      <w:r w:rsidRPr="00173FA0">
        <w:rPr>
          <w:rFonts w:ascii="Arial Narrow" w:hAnsi="Arial Narrow"/>
          <w:sz w:val="19"/>
          <w:szCs w:val="19"/>
        </w:rPr>
        <w:t xml:space="preserve"> [BD], B. No: </w:t>
      </w:r>
      <w:r w:rsidRPr="00173FA0">
        <w:rPr>
          <w:rFonts w:ascii="Arial Narrow" w:eastAsia="Times New Roman" w:hAnsi="Arial Narrow"/>
          <w:color w:val="222222"/>
          <w:sz w:val="19"/>
          <w:szCs w:val="19"/>
          <w:lang w:eastAsia="en-GB"/>
        </w:rPr>
        <w:t xml:space="preserve">14305/17, 22/12/2020, </w:t>
      </w:r>
      <w:r w:rsidRPr="00173FA0">
        <w:rPr>
          <w:rFonts w:ascii="Arial Narrow" w:hAnsi="Arial Narrow"/>
          <w:sz w:val="19"/>
          <w:szCs w:val="19"/>
        </w:rPr>
        <w:t>§ 160.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264A"/>
    <w:multiLevelType w:val="hybridMultilevel"/>
    <w:tmpl w:val="8F6C967E"/>
    <w:lvl w:ilvl="0" w:tplc="3D3C9460">
      <w:start w:val="1"/>
      <w:numFmt w:val="lowerRoman"/>
      <w:lvlText w:val="(%1)"/>
      <w:lvlJc w:val="left"/>
      <w:pPr>
        <w:ind w:left="1146" w:hanging="72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 w15:restartNumberingAfterBreak="0">
    <w:nsid w:val="053316BB"/>
    <w:multiLevelType w:val="hybridMultilevel"/>
    <w:tmpl w:val="8D1A899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B62390B"/>
    <w:multiLevelType w:val="hybridMultilevel"/>
    <w:tmpl w:val="BBEA71A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B722A56"/>
    <w:multiLevelType w:val="hybridMultilevel"/>
    <w:tmpl w:val="016A7C42"/>
    <w:lvl w:ilvl="0" w:tplc="2676E1C6">
      <w:start w:val="1"/>
      <w:numFmt w:val="decimal"/>
      <w:lvlText w:val="%1."/>
      <w:lvlJc w:val="left"/>
      <w:pPr>
        <w:ind w:left="720" w:hanging="36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05B0D48"/>
    <w:multiLevelType w:val="hybridMultilevel"/>
    <w:tmpl w:val="C42ED220"/>
    <w:lvl w:ilvl="0" w:tplc="76E6DD78">
      <w:start w:val="1"/>
      <w:numFmt w:val="decimal"/>
      <w:lvlText w:val="%1."/>
      <w:lvlJc w:val="left"/>
      <w:pPr>
        <w:ind w:left="720" w:hanging="36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E1C14E7"/>
    <w:multiLevelType w:val="hybridMultilevel"/>
    <w:tmpl w:val="94DC4876"/>
    <w:lvl w:ilvl="0" w:tplc="198ED45E">
      <w:start w:val="1"/>
      <w:numFmt w:val="lowerRoman"/>
      <w:lvlText w:val="(%1)"/>
      <w:lvlJc w:val="left"/>
      <w:pPr>
        <w:ind w:left="1080" w:hanging="72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8443F61"/>
    <w:multiLevelType w:val="hybridMultilevel"/>
    <w:tmpl w:val="54F0F760"/>
    <w:lvl w:ilvl="0" w:tplc="B69C1E56">
      <w:start w:val="1"/>
      <w:numFmt w:val="lowerRoman"/>
      <w:lvlText w:val="(%1)"/>
      <w:lvlJc w:val="left"/>
      <w:pPr>
        <w:ind w:left="1146" w:hanging="72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7" w15:restartNumberingAfterBreak="0">
    <w:nsid w:val="3B1309A5"/>
    <w:multiLevelType w:val="hybridMultilevel"/>
    <w:tmpl w:val="E26E56FC"/>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08C0A43"/>
    <w:multiLevelType w:val="hybridMultilevel"/>
    <w:tmpl w:val="3A0A23C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61C70BE"/>
    <w:multiLevelType w:val="hybridMultilevel"/>
    <w:tmpl w:val="03D6A99E"/>
    <w:lvl w:ilvl="0" w:tplc="CBAAD222">
      <w:start w:val="1"/>
      <w:numFmt w:val="lowerRoman"/>
      <w:lvlText w:val="(%1)"/>
      <w:lvlJc w:val="left"/>
      <w:pPr>
        <w:ind w:left="1146" w:hanging="720"/>
      </w:pPr>
      <w:rPr>
        <w:rFonts w:hint="default"/>
        <w:b/>
      </w:rPr>
    </w:lvl>
    <w:lvl w:ilvl="1" w:tplc="041F0019">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0" w15:restartNumberingAfterBreak="0">
    <w:nsid w:val="4D03330B"/>
    <w:multiLevelType w:val="hybridMultilevel"/>
    <w:tmpl w:val="19D42A5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4446E38"/>
    <w:multiLevelType w:val="hybridMultilevel"/>
    <w:tmpl w:val="9360627A"/>
    <w:lvl w:ilvl="0" w:tplc="7908CE70">
      <w:start w:val="1"/>
      <w:numFmt w:val="decimal"/>
      <w:lvlText w:val="%1."/>
      <w:lvlJc w:val="left"/>
      <w:pPr>
        <w:ind w:left="360" w:hanging="360"/>
      </w:pPr>
      <w:rPr>
        <w:rFonts w:ascii="Arial" w:hAnsi="Arial" w:cs="Arial" w:hint="default"/>
        <w:sz w:val="24"/>
        <w:szCs w:val="24"/>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55C2404E"/>
    <w:multiLevelType w:val="hybridMultilevel"/>
    <w:tmpl w:val="370671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ABB5F97"/>
    <w:multiLevelType w:val="hybridMultilevel"/>
    <w:tmpl w:val="C904437E"/>
    <w:lvl w:ilvl="0" w:tplc="9EF2306A">
      <w:start w:val="1"/>
      <w:numFmt w:val="decimal"/>
      <w:lvlText w:val="%1."/>
      <w:lvlJc w:val="left"/>
      <w:pPr>
        <w:ind w:left="720" w:hanging="360"/>
      </w:pPr>
      <w:rPr>
        <w:rFonts w:eastAsiaTheme="minorHAnsi"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87677409">
    <w:abstractNumId w:val="5"/>
  </w:num>
  <w:num w:numId="2" w16cid:durableId="733310319">
    <w:abstractNumId w:val="0"/>
  </w:num>
  <w:num w:numId="3" w16cid:durableId="677122876">
    <w:abstractNumId w:val="9"/>
  </w:num>
  <w:num w:numId="4" w16cid:durableId="1176118249">
    <w:abstractNumId w:val="6"/>
  </w:num>
  <w:num w:numId="5" w16cid:durableId="377441507">
    <w:abstractNumId w:val="11"/>
  </w:num>
  <w:num w:numId="6" w16cid:durableId="1589194246">
    <w:abstractNumId w:val="12"/>
  </w:num>
  <w:num w:numId="7" w16cid:durableId="1427191067">
    <w:abstractNumId w:val="8"/>
  </w:num>
  <w:num w:numId="8" w16cid:durableId="1890873967">
    <w:abstractNumId w:val="13"/>
  </w:num>
  <w:num w:numId="9" w16cid:durableId="144050319">
    <w:abstractNumId w:val="1"/>
  </w:num>
  <w:num w:numId="10" w16cid:durableId="201943774">
    <w:abstractNumId w:val="10"/>
  </w:num>
  <w:num w:numId="11" w16cid:durableId="913393936">
    <w:abstractNumId w:val="3"/>
  </w:num>
  <w:num w:numId="12" w16cid:durableId="712921424">
    <w:abstractNumId w:val="4"/>
  </w:num>
  <w:num w:numId="13" w16cid:durableId="321782136">
    <w:abstractNumId w:val="2"/>
  </w:num>
  <w:num w:numId="14" w16cid:durableId="10377069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zMjExNjMzNzc3tTBW0lEKTi0uzszPAykwrAUAYGztyywAAAA="/>
  </w:docVars>
  <w:rsids>
    <w:rsidRoot w:val="00E10E90"/>
    <w:rsid w:val="00000597"/>
    <w:rsid w:val="000033BB"/>
    <w:rsid w:val="00004B89"/>
    <w:rsid w:val="00005319"/>
    <w:rsid w:val="000055CF"/>
    <w:rsid w:val="000078B1"/>
    <w:rsid w:val="000145BC"/>
    <w:rsid w:val="000148A3"/>
    <w:rsid w:val="00020C5E"/>
    <w:rsid w:val="00021851"/>
    <w:rsid w:val="00022A97"/>
    <w:rsid w:val="00025B4D"/>
    <w:rsid w:val="00026319"/>
    <w:rsid w:val="00026715"/>
    <w:rsid w:val="00030525"/>
    <w:rsid w:val="00032BD6"/>
    <w:rsid w:val="00032EB1"/>
    <w:rsid w:val="00036A0E"/>
    <w:rsid w:val="00043E3C"/>
    <w:rsid w:val="00044762"/>
    <w:rsid w:val="0004508C"/>
    <w:rsid w:val="00046863"/>
    <w:rsid w:val="0005140D"/>
    <w:rsid w:val="00052037"/>
    <w:rsid w:val="0005398E"/>
    <w:rsid w:val="00054B7E"/>
    <w:rsid w:val="00055571"/>
    <w:rsid w:val="00061EAA"/>
    <w:rsid w:val="00070177"/>
    <w:rsid w:val="00070484"/>
    <w:rsid w:val="000707C0"/>
    <w:rsid w:val="00070A4D"/>
    <w:rsid w:val="00074D47"/>
    <w:rsid w:val="00074FC0"/>
    <w:rsid w:val="00081330"/>
    <w:rsid w:val="000819DB"/>
    <w:rsid w:val="00082FEB"/>
    <w:rsid w:val="00083A43"/>
    <w:rsid w:val="00083A54"/>
    <w:rsid w:val="000861AC"/>
    <w:rsid w:val="00086D26"/>
    <w:rsid w:val="00090EFC"/>
    <w:rsid w:val="000910AB"/>
    <w:rsid w:val="00093F93"/>
    <w:rsid w:val="00095E04"/>
    <w:rsid w:val="000962FA"/>
    <w:rsid w:val="00096438"/>
    <w:rsid w:val="0009745D"/>
    <w:rsid w:val="000A3D1B"/>
    <w:rsid w:val="000A7B71"/>
    <w:rsid w:val="000B12B5"/>
    <w:rsid w:val="000B1C7C"/>
    <w:rsid w:val="000B382A"/>
    <w:rsid w:val="000B4D80"/>
    <w:rsid w:val="000B5F08"/>
    <w:rsid w:val="000C0678"/>
    <w:rsid w:val="000C3B3F"/>
    <w:rsid w:val="000C5929"/>
    <w:rsid w:val="000C70E8"/>
    <w:rsid w:val="000C7D02"/>
    <w:rsid w:val="000D0443"/>
    <w:rsid w:val="000D2042"/>
    <w:rsid w:val="000D2F15"/>
    <w:rsid w:val="000D611B"/>
    <w:rsid w:val="000D6F10"/>
    <w:rsid w:val="000D7A7B"/>
    <w:rsid w:val="000D7F78"/>
    <w:rsid w:val="000E232F"/>
    <w:rsid w:val="000E27CC"/>
    <w:rsid w:val="000E5718"/>
    <w:rsid w:val="000E73E9"/>
    <w:rsid w:val="000F23D4"/>
    <w:rsid w:val="000F6463"/>
    <w:rsid w:val="00100254"/>
    <w:rsid w:val="001006DD"/>
    <w:rsid w:val="001006FF"/>
    <w:rsid w:val="00104831"/>
    <w:rsid w:val="00104DF3"/>
    <w:rsid w:val="00106DD6"/>
    <w:rsid w:val="00110138"/>
    <w:rsid w:val="00113F30"/>
    <w:rsid w:val="0011503A"/>
    <w:rsid w:val="00115612"/>
    <w:rsid w:val="00116F1D"/>
    <w:rsid w:val="00117B0D"/>
    <w:rsid w:val="00120CE8"/>
    <w:rsid w:val="001219EB"/>
    <w:rsid w:val="00123AB3"/>
    <w:rsid w:val="001240A0"/>
    <w:rsid w:val="00124DAA"/>
    <w:rsid w:val="00126A15"/>
    <w:rsid w:val="00126E1E"/>
    <w:rsid w:val="001369CC"/>
    <w:rsid w:val="001422C6"/>
    <w:rsid w:val="0014294A"/>
    <w:rsid w:val="0014508A"/>
    <w:rsid w:val="00146082"/>
    <w:rsid w:val="0014652D"/>
    <w:rsid w:val="00147729"/>
    <w:rsid w:val="00147B7C"/>
    <w:rsid w:val="00147C84"/>
    <w:rsid w:val="0015432D"/>
    <w:rsid w:val="00155E61"/>
    <w:rsid w:val="00160C47"/>
    <w:rsid w:val="00161601"/>
    <w:rsid w:val="00163367"/>
    <w:rsid w:val="00170289"/>
    <w:rsid w:val="00173FA0"/>
    <w:rsid w:val="001754A0"/>
    <w:rsid w:val="00184816"/>
    <w:rsid w:val="001875E4"/>
    <w:rsid w:val="0019300D"/>
    <w:rsid w:val="00193A23"/>
    <w:rsid w:val="0019413B"/>
    <w:rsid w:val="00194E74"/>
    <w:rsid w:val="00195A13"/>
    <w:rsid w:val="00195F7D"/>
    <w:rsid w:val="001A0009"/>
    <w:rsid w:val="001A00EE"/>
    <w:rsid w:val="001A314E"/>
    <w:rsid w:val="001A3C10"/>
    <w:rsid w:val="001A40B7"/>
    <w:rsid w:val="001A7E79"/>
    <w:rsid w:val="001B0981"/>
    <w:rsid w:val="001B2E39"/>
    <w:rsid w:val="001B60E2"/>
    <w:rsid w:val="001C0719"/>
    <w:rsid w:val="001C73EA"/>
    <w:rsid w:val="001D0E0E"/>
    <w:rsid w:val="001D32CC"/>
    <w:rsid w:val="001D68AB"/>
    <w:rsid w:val="001E0830"/>
    <w:rsid w:val="001E0A0E"/>
    <w:rsid w:val="001E5C1B"/>
    <w:rsid w:val="001F0E2A"/>
    <w:rsid w:val="001F1A60"/>
    <w:rsid w:val="001F4AF6"/>
    <w:rsid w:val="001F6169"/>
    <w:rsid w:val="001F62FA"/>
    <w:rsid w:val="001F7827"/>
    <w:rsid w:val="002066B7"/>
    <w:rsid w:val="00210BD8"/>
    <w:rsid w:val="00212A32"/>
    <w:rsid w:val="002234B8"/>
    <w:rsid w:val="00225902"/>
    <w:rsid w:val="002269EE"/>
    <w:rsid w:val="00227C9F"/>
    <w:rsid w:val="00227FD3"/>
    <w:rsid w:val="00231398"/>
    <w:rsid w:val="00232D8B"/>
    <w:rsid w:val="00234E09"/>
    <w:rsid w:val="0023506F"/>
    <w:rsid w:val="002369C5"/>
    <w:rsid w:val="00241C52"/>
    <w:rsid w:val="002434F9"/>
    <w:rsid w:val="00243B59"/>
    <w:rsid w:val="0024517C"/>
    <w:rsid w:val="002468BE"/>
    <w:rsid w:val="00247875"/>
    <w:rsid w:val="00250CBE"/>
    <w:rsid w:val="002510CE"/>
    <w:rsid w:val="00253069"/>
    <w:rsid w:val="00261B89"/>
    <w:rsid w:val="00262B24"/>
    <w:rsid w:val="002675F6"/>
    <w:rsid w:val="00270501"/>
    <w:rsid w:val="00273A3D"/>
    <w:rsid w:val="00276FE4"/>
    <w:rsid w:val="0028340D"/>
    <w:rsid w:val="00283EB8"/>
    <w:rsid w:val="002913C5"/>
    <w:rsid w:val="002913D7"/>
    <w:rsid w:val="0029252F"/>
    <w:rsid w:val="00294241"/>
    <w:rsid w:val="002950DC"/>
    <w:rsid w:val="002A1328"/>
    <w:rsid w:val="002A1941"/>
    <w:rsid w:val="002A1D87"/>
    <w:rsid w:val="002A1F8B"/>
    <w:rsid w:val="002A5113"/>
    <w:rsid w:val="002A6692"/>
    <w:rsid w:val="002A7FAB"/>
    <w:rsid w:val="002B3526"/>
    <w:rsid w:val="002B40BD"/>
    <w:rsid w:val="002B4DB9"/>
    <w:rsid w:val="002C2149"/>
    <w:rsid w:val="002C6717"/>
    <w:rsid w:val="002D6E67"/>
    <w:rsid w:val="002D7DC8"/>
    <w:rsid w:val="002E14AC"/>
    <w:rsid w:val="002E2868"/>
    <w:rsid w:val="002E2CB3"/>
    <w:rsid w:val="002E37E3"/>
    <w:rsid w:val="002E3A67"/>
    <w:rsid w:val="002E4086"/>
    <w:rsid w:val="002E4095"/>
    <w:rsid w:val="002E5C0A"/>
    <w:rsid w:val="002E721D"/>
    <w:rsid w:val="002F0053"/>
    <w:rsid w:val="002F32A2"/>
    <w:rsid w:val="002F34A1"/>
    <w:rsid w:val="003032AC"/>
    <w:rsid w:val="003051A3"/>
    <w:rsid w:val="00311949"/>
    <w:rsid w:val="00311A4F"/>
    <w:rsid w:val="00311F9A"/>
    <w:rsid w:val="0031261C"/>
    <w:rsid w:val="0031502A"/>
    <w:rsid w:val="00315CA5"/>
    <w:rsid w:val="00326ABF"/>
    <w:rsid w:val="00326E29"/>
    <w:rsid w:val="003276BD"/>
    <w:rsid w:val="00331066"/>
    <w:rsid w:val="00331A89"/>
    <w:rsid w:val="00333DA6"/>
    <w:rsid w:val="003407CD"/>
    <w:rsid w:val="00343A3B"/>
    <w:rsid w:val="00346CA6"/>
    <w:rsid w:val="0035059F"/>
    <w:rsid w:val="003509AC"/>
    <w:rsid w:val="00350CFE"/>
    <w:rsid w:val="0035181D"/>
    <w:rsid w:val="003521C6"/>
    <w:rsid w:val="00353A66"/>
    <w:rsid w:val="003557F3"/>
    <w:rsid w:val="003562A8"/>
    <w:rsid w:val="0035713A"/>
    <w:rsid w:val="003647CE"/>
    <w:rsid w:val="00364891"/>
    <w:rsid w:val="00365D30"/>
    <w:rsid w:val="0036685E"/>
    <w:rsid w:val="00366A7A"/>
    <w:rsid w:val="0037239A"/>
    <w:rsid w:val="003723E1"/>
    <w:rsid w:val="00372542"/>
    <w:rsid w:val="00372A00"/>
    <w:rsid w:val="00374FF4"/>
    <w:rsid w:val="003757BD"/>
    <w:rsid w:val="0037775D"/>
    <w:rsid w:val="00377DEB"/>
    <w:rsid w:val="003811CD"/>
    <w:rsid w:val="00385661"/>
    <w:rsid w:val="003918D3"/>
    <w:rsid w:val="003A4AD9"/>
    <w:rsid w:val="003B0BFE"/>
    <w:rsid w:val="003B18DD"/>
    <w:rsid w:val="003B2567"/>
    <w:rsid w:val="003B47E7"/>
    <w:rsid w:val="003B4A8B"/>
    <w:rsid w:val="003C02D9"/>
    <w:rsid w:val="003C2391"/>
    <w:rsid w:val="003C275B"/>
    <w:rsid w:val="003C37F2"/>
    <w:rsid w:val="003C6942"/>
    <w:rsid w:val="003C7BE0"/>
    <w:rsid w:val="003E1AF2"/>
    <w:rsid w:val="003E3D36"/>
    <w:rsid w:val="003E7B55"/>
    <w:rsid w:val="003F162A"/>
    <w:rsid w:val="003F18CF"/>
    <w:rsid w:val="003F1FCE"/>
    <w:rsid w:val="00400037"/>
    <w:rsid w:val="00402D0D"/>
    <w:rsid w:val="00406573"/>
    <w:rsid w:val="004201F4"/>
    <w:rsid w:val="00420979"/>
    <w:rsid w:val="0042227E"/>
    <w:rsid w:val="00422D8A"/>
    <w:rsid w:val="004258B1"/>
    <w:rsid w:val="00425D60"/>
    <w:rsid w:val="0042702B"/>
    <w:rsid w:val="004304B0"/>
    <w:rsid w:val="00432392"/>
    <w:rsid w:val="00434581"/>
    <w:rsid w:val="00435C66"/>
    <w:rsid w:val="00436BE3"/>
    <w:rsid w:val="0044033C"/>
    <w:rsid w:val="00445A96"/>
    <w:rsid w:val="00446C15"/>
    <w:rsid w:val="00446D8C"/>
    <w:rsid w:val="00453312"/>
    <w:rsid w:val="004625DE"/>
    <w:rsid w:val="00462FD4"/>
    <w:rsid w:val="00463421"/>
    <w:rsid w:val="00464E67"/>
    <w:rsid w:val="004707A0"/>
    <w:rsid w:val="00472BCA"/>
    <w:rsid w:val="00477AA5"/>
    <w:rsid w:val="00481E61"/>
    <w:rsid w:val="00482748"/>
    <w:rsid w:val="004865CB"/>
    <w:rsid w:val="00487490"/>
    <w:rsid w:val="00492173"/>
    <w:rsid w:val="00494233"/>
    <w:rsid w:val="00496322"/>
    <w:rsid w:val="004A0B39"/>
    <w:rsid w:val="004A1071"/>
    <w:rsid w:val="004A2291"/>
    <w:rsid w:val="004A3F51"/>
    <w:rsid w:val="004A5715"/>
    <w:rsid w:val="004A7261"/>
    <w:rsid w:val="004B622A"/>
    <w:rsid w:val="004B7C60"/>
    <w:rsid w:val="004C02D3"/>
    <w:rsid w:val="004C1230"/>
    <w:rsid w:val="004C1C00"/>
    <w:rsid w:val="004C3C82"/>
    <w:rsid w:val="004C4070"/>
    <w:rsid w:val="004C59C8"/>
    <w:rsid w:val="004D133D"/>
    <w:rsid w:val="004D34F7"/>
    <w:rsid w:val="004D4491"/>
    <w:rsid w:val="004D51F7"/>
    <w:rsid w:val="004D5789"/>
    <w:rsid w:val="004D6370"/>
    <w:rsid w:val="004D6C2E"/>
    <w:rsid w:val="004E10F4"/>
    <w:rsid w:val="004E3936"/>
    <w:rsid w:val="004E5AA8"/>
    <w:rsid w:val="004F46E2"/>
    <w:rsid w:val="004F495D"/>
    <w:rsid w:val="004F4B37"/>
    <w:rsid w:val="004F6989"/>
    <w:rsid w:val="005010FE"/>
    <w:rsid w:val="00501B4D"/>
    <w:rsid w:val="005043D0"/>
    <w:rsid w:val="005065D7"/>
    <w:rsid w:val="005104C0"/>
    <w:rsid w:val="00516214"/>
    <w:rsid w:val="00516956"/>
    <w:rsid w:val="00516C0D"/>
    <w:rsid w:val="0052099D"/>
    <w:rsid w:val="00520EB1"/>
    <w:rsid w:val="00521037"/>
    <w:rsid w:val="00522228"/>
    <w:rsid w:val="00523F27"/>
    <w:rsid w:val="0052673D"/>
    <w:rsid w:val="005323FE"/>
    <w:rsid w:val="00534067"/>
    <w:rsid w:val="005343CD"/>
    <w:rsid w:val="0053504C"/>
    <w:rsid w:val="00536262"/>
    <w:rsid w:val="00540034"/>
    <w:rsid w:val="005409B3"/>
    <w:rsid w:val="0054483D"/>
    <w:rsid w:val="00546252"/>
    <w:rsid w:val="00546702"/>
    <w:rsid w:val="005473E1"/>
    <w:rsid w:val="00547CA7"/>
    <w:rsid w:val="005506D2"/>
    <w:rsid w:val="00550CF1"/>
    <w:rsid w:val="00552B18"/>
    <w:rsid w:val="0055361D"/>
    <w:rsid w:val="0055452A"/>
    <w:rsid w:val="0055563E"/>
    <w:rsid w:val="00555DE2"/>
    <w:rsid w:val="00561CCC"/>
    <w:rsid w:val="005635B8"/>
    <w:rsid w:val="00565DF4"/>
    <w:rsid w:val="00567A00"/>
    <w:rsid w:val="00575EFC"/>
    <w:rsid w:val="00580354"/>
    <w:rsid w:val="00581313"/>
    <w:rsid w:val="0058208E"/>
    <w:rsid w:val="005830FE"/>
    <w:rsid w:val="00585C56"/>
    <w:rsid w:val="00586388"/>
    <w:rsid w:val="00591860"/>
    <w:rsid w:val="005A528D"/>
    <w:rsid w:val="005A7064"/>
    <w:rsid w:val="005B019B"/>
    <w:rsid w:val="005B3ABD"/>
    <w:rsid w:val="005C00BA"/>
    <w:rsid w:val="005C0121"/>
    <w:rsid w:val="005C38C7"/>
    <w:rsid w:val="005C487D"/>
    <w:rsid w:val="005C6F18"/>
    <w:rsid w:val="005D07F1"/>
    <w:rsid w:val="005D0E80"/>
    <w:rsid w:val="005D3485"/>
    <w:rsid w:val="005D3543"/>
    <w:rsid w:val="005D371C"/>
    <w:rsid w:val="005D381B"/>
    <w:rsid w:val="005D4675"/>
    <w:rsid w:val="005E3EFE"/>
    <w:rsid w:val="005E4524"/>
    <w:rsid w:val="005E610F"/>
    <w:rsid w:val="005E6FA1"/>
    <w:rsid w:val="005F14E4"/>
    <w:rsid w:val="00601693"/>
    <w:rsid w:val="006038F0"/>
    <w:rsid w:val="00603AEC"/>
    <w:rsid w:val="00605C7D"/>
    <w:rsid w:val="00607D03"/>
    <w:rsid w:val="00610693"/>
    <w:rsid w:val="00614020"/>
    <w:rsid w:val="006162F7"/>
    <w:rsid w:val="00620C7F"/>
    <w:rsid w:val="00627177"/>
    <w:rsid w:val="00634B3F"/>
    <w:rsid w:val="0063567E"/>
    <w:rsid w:val="00637C58"/>
    <w:rsid w:val="006443DD"/>
    <w:rsid w:val="00644A7C"/>
    <w:rsid w:val="006473D7"/>
    <w:rsid w:val="006519DE"/>
    <w:rsid w:val="00652D89"/>
    <w:rsid w:val="006578C1"/>
    <w:rsid w:val="006605A7"/>
    <w:rsid w:val="006630C6"/>
    <w:rsid w:val="00663DD5"/>
    <w:rsid w:val="006657A4"/>
    <w:rsid w:val="0067087B"/>
    <w:rsid w:val="00671037"/>
    <w:rsid w:val="00672F42"/>
    <w:rsid w:val="00673C98"/>
    <w:rsid w:val="00674A9C"/>
    <w:rsid w:val="00675B59"/>
    <w:rsid w:val="006772B2"/>
    <w:rsid w:val="006779FF"/>
    <w:rsid w:val="00681A1C"/>
    <w:rsid w:val="00681B05"/>
    <w:rsid w:val="006846CA"/>
    <w:rsid w:val="00690986"/>
    <w:rsid w:val="00695777"/>
    <w:rsid w:val="00695ADD"/>
    <w:rsid w:val="006A708B"/>
    <w:rsid w:val="006B0072"/>
    <w:rsid w:val="006B1958"/>
    <w:rsid w:val="006B305F"/>
    <w:rsid w:val="006B362F"/>
    <w:rsid w:val="006B4021"/>
    <w:rsid w:val="006C3A50"/>
    <w:rsid w:val="006C3F2E"/>
    <w:rsid w:val="006D093A"/>
    <w:rsid w:val="006D280F"/>
    <w:rsid w:val="006D308A"/>
    <w:rsid w:val="006D5775"/>
    <w:rsid w:val="006E4997"/>
    <w:rsid w:val="006F1410"/>
    <w:rsid w:val="006F1E5F"/>
    <w:rsid w:val="006F2769"/>
    <w:rsid w:val="006F31CA"/>
    <w:rsid w:val="006F43B7"/>
    <w:rsid w:val="006F50E2"/>
    <w:rsid w:val="006F6771"/>
    <w:rsid w:val="00703515"/>
    <w:rsid w:val="007049EE"/>
    <w:rsid w:val="007060E1"/>
    <w:rsid w:val="00707EA8"/>
    <w:rsid w:val="00710B3C"/>
    <w:rsid w:val="00715A07"/>
    <w:rsid w:val="0071687D"/>
    <w:rsid w:val="00721461"/>
    <w:rsid w:val="007230E5"/>
    <w:rsid w:val="00724009"/>
    <w:rsid w:val="00724657"/>
    <w:rsid w:val="0072497F"/>
    <w:rsid w:val="00724A90"/>
    <w:rsid w:val="0072676A"/>
    <w:rsid w:val="007346A2"/>
    <w:rsid w:val="0074335D"/>
    <w:rsid w:val="00743BC9"/>
    <w:rsid w:val="00746C6A"/>
    <w:rsid w:val="00752808"/>
    <w:rsid w:val="00754B3F"/>
    <w:rsid w:val="0075567B"/>
    <w:rsid w:val="00760D74"/>
    <w:rsid w:val="00765103"/>
    <w:rsid w:val="0076685A"/>
    <w:rsid w:val="00771274"/>
    <w:rsid w:val="00772D5B"/>
    <w:rsid w:val="007743CE"/>
    <w:rsid w:val="00774EF7"/>
    <w:rsid w:val="007753AC"/>
    <w:rsid w:val="00780850"/>
    <w:rsid w:val="0078105E"/>
    <w:rsid w:val="00782EE5"/>
    <w:rsid w:val="007832F0"/>
    <w:rsid w:val="007846AB"/>
    <w:rsid w:val="00790E29"/>
    <w:rsid w:val="00792F42"/>
    <w:rsid w:val="00795B60"/>
    <w:rsid w:val="007964BD"/>
    <w:rsid w:val="0079651F"/>
    <w:rsid w:val="00797FB2"/>
    <w:rsid w:val="007A0F5D"/>
    <w:rsid w:val="007A278B"/>
    <w:rsid w:val="007A31B4"/>
    <w:rsid w:val="007A3E0D"/>
    <w:rsid w:val="007A4066"/>
    <w:rsid w:val="007A4BA7"/>
    <w:rsid w:val="007A7363"/>
    <w:rsid w:val="007B13DB"/>
    <w:rsid w:val="007B2E78"/>
    <w:rsid w:val="007B3C14"/>
    <w:rsid w:val="007B44CF"/>
    <w:rsid w:val="007B4BAA"/>
    <w:rsid w:val="007B4D2B"/>
    <w:rsid w:val="007C0354"/>
    <w:rsid w:val="007C155F"/>
    <w:rsid w:val="007C16A8"/>
    <w:rsid w:val="007C2FE3"/>
    <w:rsid w:val="007C45F8"/>
    <w:rsid w:val="007C4BFD"/>
    <w:rsid w:val="007C5068"/>
    <w:rsid w:val="007C68EF"/>
    <w:rsid w:val="007D04E3"/>
    <w:rsid w:val="007D32D1"/>
    <w:rsid w:val="007D3800"/>
    <w:rsid w:val="007D3DE9"/>
    <w:rsid w:val="007D459E"/>
    <w:rsid w:val="007D4BB0"/>
    <w:rsid w:val="007D756B"/>
    <w:rsid w:val="007E18E4"/>
    <w:rsid w:val="007E2034"/>
    <w:rsid w:val="007E550D"/>
    <w:rsid w:val="007E65EB"/>
    <w:rsid w:val="007E6792"/>
    <w:rsid w:val="007F0337"/>
    <w:rsid w:val="007F0585"/>
    <w:rsid w:val="007F5677"/>
    <w:rsid w:val="00804C1A"/>
    <w:rsid w:val="00804E23"/>
    <w:rsid w:val="00805D24"/>
    <w:rsid w:val="00806438"/>
    <w:rsid w:val="008159AB"/>
    <w:rsid w:val="008210BC"/>
    <w:rsid w:val="008224CA"/>
    <w:rsid w:val="00822502"/>
    <w:rsid w:val="00822C4D"/>
    <w:rsid w:val="00826880"/>
    <w:rsid w:val="00827512"/>
    <w:rsid w:val="00827E6C"/>
    <w:rsid w:val="008313C3"/>
    <w:rsid w:val="00831BE5"/>
    <w:rsid w:val="008324DA"/>
    <w:rsid w:val="00833B7A"/>
    <w:rsid w:val="00833D66"/>
    <w:rsid w:val="0083580A"/>
    <w:rsid w:val="00835BFD"/>
    <w:rsid w:val="0084170D"/>
    <w:rsid w:val="00842225"/>
    <w:rsid w:val="0084645C"/>
    <w:rsid w:val="00847052"/>
    <w:rsid w:val="00850A01"/>
    <w:rsid w:val="00851223"/>
    <w:rsid w:val="00853870"/>
    <w:rsid w:val="008542C5"/>
    <w:rsid w:val="00856089"/>
    <w:rsid w:val="008579E9"/>
    <w:rsid w:val="00857C88"/>
    <w:rsid w:val="00874B18"/>
    <w:rsid w:val="0087501B"/>
    <w:rsid w:val="008760BB"/>
    <w:rsid w:val="00884C05"/>
    <w:rsid w:val="0088605E"/>
    <w:rsid w:val="00887EC7"/>
    <w:rsid w:val="00890ED1"/>
    <w:rsid w:val="00891C6C"/>
    <w:rsid w:val="00895AE1"/>
    <w:rsid w:val="008A091F"/>
    <w:rsid w:val="008A169B"/>
    <w:rsid w:val="008A2403"/>
    <w:rsid w:val="008A2D47"/>
    <w:rsid w:val="008A2E9B"/>
    <w:rsid w:val="008A5395"/>
    <w:rsid w:val="008A5575"/>
    <w:rsid w:val="008A7171"/>
    <w:rsid w:val="008A71F0"/>
    <w:rsid w:val="008B289F"/>
    <w:rsid w:val="008B440F"/>
    <w:rsid w:val="008B7E1C"/>
    <w:rsid w:val="008B7F8F"/>
    <w:rsid w:val="008C27B4"/>
    <w:rsid w:val="008C311B"/>
    <w:rsid w:val="008C3219"/>
    <w:rsid w:val="008C3652"/>
    <w:rsid w:val="008C47D8"/>
    <w:rsid w:val="008C4F7A"/>
    <w:rsid w:val="008C545A"/>
    <w:rsid w:val="008D4ED8"/>
    <w:rsid w:val="008E083B"/>
    <w:rsid w:val="008E237B"/>
    <w:rsid w:val="008E5318"/>
    <w:rsid w:val="008E6E91"/>
    <w:rsid w:val="008F2C2B"/>
    <w:rsid w:val="008F3C62"/>
    <w:rsid w:val="008F6F85"/>
    <w:rsid w:val="00900A6C"/>
    <w:rsid w:val="00901717"/>
    <w:rsid w:val="00902A27"/>
    <w:rsid w:val="00906342"/>
    <w:rsid w:val="009119D7"/>
    <w:rsid w:val="00911F6C"/>
    <w:rsid w:val="009136EA"/>
    <w:rsid w:val="00913CE4"/>
    <w:rsid w:val="0091448D"/>
    <w:rsid w:val="00914ED5"/>
    <w:rsid w:val="0091764C"/>
    <w:rsid w:val="00921A75"/>
    <w:rsid w:val="00922CFE"/>
    <w:rsid w:val="0092442A"/>
    <w:rsid w:val="0092704F"/>
    <w:rsid w:val="00941B4D"/>
    <w:rsid w:val="00942761"/>
    <w:rsid w:val="0094321D"/>
    <w:rsid w:val="0094493B"/>
    <w:rsid w:val="009507C8"/>
    <w:rsid w:val="00950A4C"/>
    <w:rsid w:val="009521D7"/>
    <w:rsid w:val="00952B4F"/>
    <w:rsid w:val="00954ACB"/>
    <w:rsid w:val="00956608"/>
    <w:rsid w:val="009601F7"/>
    <w:rsid w:val="0096185D"/>
    <w:rsid w:val="00964E32"/>
    <w:rsid w:val="0097220C"/>
    <w:rsid w:val="009729A1"/>
    <w:rsid w:val="00973E90"/>
    <w:rsid w:val="00977DA6"/>
    <w:rsid w:val="009806BA"/>
    <w:rsid w:val="009821F3"/>
    <w:rsid w:val="00983BB3"/>
    <w:rsid w:val="00984391"/>
    <w:rsid w:val="00992F68"/>
    <w:rsid w:val="00993F5D"/>
    <w:rsid w:val="009A0CB7"/>
    <w:rsid w:val="009A2914"/>
    <w:rsid w:val="009A38B1"/>
    <w:rsid w:val="009A46EF"/>
    <w:rsid w:val="009A4B94"/>
    <w:rsid w:val="009A5F7F"/>
    <w:rsid w:val="009B0C92"/>
    <w:rsid w:val="009B123C"/>
    <w:rsid w:val="009B33E2"/>
    <w:rsid w:val="009B608D"/>
    <w:rsid w:val="009C0561"/>
    <w:rsid w:val="009C0DF4"/>
    <w:rsid w:val="009C0F26"/>
    <w:rsid w:val="009C183C"/>
    <w:rsid w:val="009C2881"/>
    <w:rsid w:val="009C2A8F"/>
    <w:rsid w:val="009C5C13"/>
    <w:rsid w:val="009C7699"/>
    <w:rsid w:val="009D0A87"/>
    <w:rsid w:val="009D3976"/>
    <w:rsid w:val="009D3CB7"/>
    <w:rsid w:val="009D3FF5"/>
    <w:rsid w:val="009E062F"/>
    <w:rsid w:val="009E2E3B"/>
    <w:rsid w:val="009E5593"/>
    <w:rsid w:val="009E6429"/>
    <w:rsid w:val="009E68DC"/>
    <w:rsid w:val="009F05FB"/>
    <w:rsid w:val="009F269D"/>
    <w:rsid w:val="009F2C97"/>
    <w:rsid w:val="009F6A2F"/>
    <w:rsid w:val="00A01A46"/>
    <w:rsid w:val="00A0307E"/>
    <w:rsid w:val="00A05C32"/>
    <w:rsid w:val="00A063D1"/>
    <w:rsid w:val="00A07F6E"/>
    <w:rsid w:val="00A1065F"/>
    <w:rsid w:val="00A10E04"/>
    <w:rsid w:val="00A13CC6"/>
    <w:rsid w:val="00A171C5"/>
    <w:rsid w:val="00A21092"/>
    <w:rsid w:val="00A22321"/>
    <w:rsid w:val="00A22362"/>
    <w:rsid w:val="00A22C0F"/>
    <w:rsid w:val="00A22E61"/>
    <w:rsid w:val="00A22EF5"/>
    <w:rsid w:val="00A3030C"/>
    <w:rsid w:val="00A3123B"/>
    <w:rsid w:val="00A32212"/>
    <w:rsid w:val="00A32221"/>
    <w:rsid w:val="00A32E8A"/>
    <w:rsid w:val="00A33E25"/>
    <w:rsid w:val="00A36B72"/>
    <w:rsid w:val="00A400A7"/>
    <w:rsid w:val="00A409EE"/>
    <w:rsid w:val="00A41D5F"/>
    <w:rsid w:val="00A435C2"/>
    <w:rsid w:val="00A474F7"/>
    <w:rsid w:val="00A51E24"/>
    <w:rsid w:val="00A53E81"/>
    <w:rsid w:val="00A555B6"/>
    <w:rsid w:val="00A55EC4"/>
    <w:rsid w:val="00A572F0"/>
    <w:rsid w:val="00A576E9"/>
    <w:rsid w:val="00A61402"/>
    <w:rsid w:val="00A64182"/>
    <w:rsid w:val="00A64228"/>
    <w:rsid w:val="00A6512E"/>
    <w:rsid w:val="00A65974"/>
    <w:rsid w:val="00A673D8"/>
    <w:rsid w:val="00A708B1"/>
    <w:rsid w:val="00A70D99"/>
    <w:rsid w:val="00A70F3F"/>
    <w:rsid w:val="00A72AC5"/>
    <w:rsid w:val="00A72AF3"/>
    <w:rsid w:val="00A74223"/>
    <w:rsid w:val="00A76CFB"/>
    <w:rsid w:val="00A76D7D"/>
    <w:rsid w:val="00A77325"/>
    <w:rsid w:val="00A80957"/>
    <w:rsid w:val="00A80D6A"/>
    <w:rsid w:val="00A8410A"/>
    <w:rsid w:val="00A84601"/>
    <w:rsid w:val="00A857E6"/>
    <w:rsid w:val="00A86B2B"/>
    <w:rsid w:val="00A92DF1"/>
    <w:rsid w:val="00A95525"/>
    <w:rsid w:val="00A9566D"/>
    <w:rsid w:val="00A9580D"/>
    <w:rsid w:val="00AA04B9"/>
    <w:rsid w:val="00AA2885"/>
    <w:rsid w:val="00AA2FD5"/>
    <w:rsid w:val="00AA4ABA"/>
    <w:rsid w:val="00AB407B"/>
    <w:rsid w:val="00AB57C5"/>
    <w:rsid w:val="00AC1C76"/>
    <w:rsid w:val="00AC5D30"/>
    <w:rsid w:val="00AC607C"/>
    <w:rsid w:val="00AC60A5"/>
    <w:rsid w:val="00AC669A"/>
    <w:rsid w:val="00AD0550"/>
    <w:rsid w:val="00AD23C0"/>
    <w:rsid w:val="00AD279C"/>
    <w:rsid w:val="00AD2B51"/>
    <w:rsid w:val="00AE1350"/>
    <w:rsid w:val="00AE256F"/>
    <w:rsid w:val="00AF0D18"/>
    <w:rsid w:val="00AF25E9"/>
    <w:rsid w:val="00AF7143"/>
    <w:rsid w:val="00B015DB"/>
    <w:rsid w:val="00B01F65"/>
    <w:rsid w:val="00B026A1"/>
    <w:rsid w:val="00B041B3"/>
    <w:rsid w:val="00B06848"/>
    <w:rsid w:val="00B06F06"/>
    <w:rsid w:val="00B07C3E"/>
    <w:rsid w:val="00B104E7"/>
    <w:rsid w:val="00B143F0"/>
    <w:rsid w:val="00B152DA"/>
    <w:rsid w:val="00B15941"/>
    <w:rsid w:val="00B159B9"/>
    <w:rsid w:val="00B21989"/>
    <w:rsid w:val="00B22CF7"/>
    <w:rsid w:val="00B23DA3"/>
    <w:rsid w:val="00B26E52"/>
    <w:rsid w:val="00B303CB"/>
    <w:rsid w:val="00B31581"/>
    <w:rsid w:val="00B328ED"/>
    <w:rsid w:val="00B33618"/>
    <w:rsid w:val="00B3707D"/>
    <w:rsid w:val="00B4036C"/>
    <w:rsid w:val="00B42CA4"/>
    <w:rsid w:val="00B42D52"/>
    <w:rsid w:val="00B44508"/>
    <w:rsid w:val="00B446CF"/>
    <w:rsid w:val="00B46DB1"/>
    <w:rsid w:val="00B47331"/>
    <w:rsid w:val="00B4748D"/>
    <w:rsid w:val="00B5017D"/>
    <w:rsid w:val="00B521CF"/>
    <w:rsid w:val="00B5315F"/>
    <w:rsid w:val="00B54AD1"/>
    <w:rsid w:val="00B54EA2"/>
    <w:rsid w:val="00B55400"/>
    <w:rsid w:val="00B55869"/>
    <w:rsid w:val="00B56BCC"/>
    <w:rsid w:val="00B57643"/>
    <w:rsid w:val="00B60AE6"/>
    <w:rsid w:val="00B6248B"/>
    <w:rsid w:val="00B66B76"/>
    <w:rsid w:val="00B672DE"/>
    <w:rsid w:val="00B67686"/>
    <w:rsid w:val="00B72EC2"/>
    <w:rsid w:val="00B7353B"/>
    <w:rsid w:val="00B7506D"/>
    <w:rsid w:val="00B82C26"/>
    <w:rsid w:val="00B832AF"/>
    <w:rsid w:val="00B904FB"/>
    <w:rsid w:val="00B95182"/>
    <w:rsid w:val="00B95B9B"/>
    <w:rsid w:val="00B97228"/>
    <w:rsid w:val="00B978EF"/>
    <w:rsid w:val="00BA4CC2"/>
    <w:rsid w:val="00BA5A58"/>
    <w:rsid w:val="00BB336D"/>
    <w:rsid w:val="00BB62A5"/>
    <w:rsid w:val="00BB692E"/>
    <w:rsid w:val="00BB749A"/>
    <w:rsid w:val="00BB793A"/>
    <w:rsid w:val="00BC0FA2"/>
    <w:rsid w:val="00BC2B56"/>
    <w:rsid w:val="00BC7D0C"/>
    <w:rsid w:val="00BD25F2"/>
    <w:rsid w:val="00BD3D5D"/>
    <w:rsid w:val="00BD5202"/>
    <w:rsid w:val="00BD52EC"/>
    <w:rsid w:val="00BD65F1"/>
    <w:rsid w:val="00BD7CDA"/>
    <w:rsid w:val="00BE1944"/>
    <w:rsid w:val="00BE2EB2"/>
    <w:rsid w:val="00BE34DC"/>
    <w:rsid w:val="00BE38DA"/>
    <w:rsid w:val="00BE51B4"/>
    <w:rsid w:val="00BF4725"/>
    <w:rsid w:val="00BF676D"/>
    <w:rsid w:val="00C0094C"/>
    <w:rsid w:val="00C01761"/>
    <w:rsid w:val="00C0327D"/>
    <w:rsid w:val="00C03738"/>
    <w:rsid w:val="00C041C9"/>
    <w:rsid w:val="00C05F4E"/>
    <w:rsid w:val="00C1008D"/>
    <w:rsid w:val="00C13D11"/>
    <w:rsid w:val="00C14B8F"/>
    <w:rsid w:val="00C16801"/>
    <w:rsid w:val="00C16C72"/>
    <w:rsid w:val="00C222E8"/>
    <w:rsid w:val="00C24421"/>
    <w:rsid w:val="00C26876"/>
    <w:rsid w:val="00C27768"/>
    <w:rsid w:val="00C31452"/>
    <w:rsid w:val="00C37BB1"/>
    <w:rsid w:val="00C421DB"/>
    <w:rsid w:val="00C423F6"/>
    <w:rsid w:val="00C46232"/>
    <w:rsid w:val="00C56C49"/>
    <w:rsid w:val="00C6511F"/>
    <w:rsid w:val="00C65205"/>
    <w:rsid w:val="00C65DA1"/>
    <w:rsid w:val="00C66E72"/>
    <w:rsid w:val="00C67C28"/>
    <w:rsid w:val="00C70D1E"/>
    <w:rsid w:val="00C72D98"/>
    <w:rsid w:val="00C742D5"/>
    <w:rsid w:val="00C75058"/>
    <w:rsid w:val="00C762E5"/>
    <w:rsid w:val="00C801C2"/>
    <w:rsid w:val="00C82B2F"/>
    <w:rsid w:val="00C83036"/>
    <w:rsid w:val="00C86BD9"/>
    <w:rsid w:val="00C9135C"/>
    <w:rsid w:val="00C92427"/>
    <w:rsid w:val="00C94CA6"/>
    <w:rsid w:val="00C94F92"/>
    <w:rsid w:val="00CA0A6B"/>
    <w:rsid w:val="00CA2DA3"/>
    <w:rsid w:val="00CA2E58"/>
    <w:rsid w:val="00CA3507"/>
    <w:rsid w:val="00CA3A50"/>
    <w:rsid w:val="00CA5793"/>
    <w:rsid w:val="00CA5A0A"/>
    <w:rsid w:val="00CA675B"/>
    <w:rsid w:val="00CB081F"/>
    <w:rsid w:val="00CB0D85"/>
    <w:rsid w:val="00CB0FD1"/>
    <w:rsid w:val="00CB1A9B"/>
    <w:rsid w:val="00CB1D6C"/>
    <w:rsid w:val="00CB282C"/>
    <w:rsid w:val="00CB3D45"/>
    <w:rsid w:val="00CB6FDE"/>
    <w:rsid w:val="00CB7B15"/>
    <w:rsid w:val="00CC3F36"/>
    <w:rsid w:val="00CC4745"/>
    <w:rsid w:val="00CC49E5"/>
    <w:rsid w:val="00CC70DE"/>
    <w:rsid w:val="00CD0054"/>
    <w:rsid w:val="00CD0223"/>
    <w:rsid w:val="00CD43E4"/>
    <w:rsid w:val="00CD6885"/>
    <w:rsid w:val="00CE18AB"/>
    <w:rsid w:val="00CE3514"/>
    <w:rsid w:val="00CE3CCF"/>
    <w:rsid w:val="00CE5A5F"/>
    <w:rsid w:val="00CF0D78"/>
    <w:rsid w:val="00CF24C2"/>
    <w:rsid w:val="00D03955"/>
    <w:rsid w:val="00D0441F"/>
    <w:rsid w:val="00D1046C"/>
    <w:rsid w:val="00D14D55"/>
    <w:rsid w:val="00D1644D"/>
    <w:rsid w:val="00D17C39"/>
    <w:rsid w:val="00D20816"/>
    <w:rsid w:val="00D2107A"/>
    <w:rsid w:val="00D21665"/>
    <w:rsid w:val="00D22E3F"/>
    <w:rsid w:val="00D23425"/>
    <w:rsid w:val="00D23B7C"/>
    <w:rsid w:val="00D331D6"/>
    <w:rsid w:val="00D355DC"/>
    <w:rsid w:val="00D3619D"/>
    <w:rsid w:val="00D374CD"/>
    <w:rsid w:val="00D43D36"/>
    <w:rsid w:val="00D504E5"/>
    <w:rsid w:val="00D55BEC"/>
    <w:rsid w:val="00D60CFB"/>
    <w:rsid w:val="00D621C5"/>
    <w:rsid w:val="00D64D5A"/>
    <w:rsid w:val="00D67D40"/>
    <w:rsid w:val="00D71562"/>
    <w:rsid w:val="00D73FBC"/>
    <w:rsid w:val="00D756BC"/>
    <w:rsid w:val="00D779D6"/>
    <w:rsid w:val="00D80550"/>
    <w:rsid w:val="00D80AFC"/>
    <w:rsid w:val="00D81AD4"/>
    <w:rsid w:val="00D81B0C"/>
    <w:rsid w:val="00D85F07"/>
    <w:rsid w:val="00D8699E"/>
    <w:rsid w:val="00D91EA0"/>
    <w:rsid w:val="00D97431"/>
    <w:rsid w:val="00DA2164"/>
    <w:rsid w:val="00DA27DE"/>
    <w:rsid w:val="00DA4313"/>
    <w:rsid w:val="00DA5EF2"/>
    <w:rsid w:val="00DA630E"/>
    <w:rsid w:val="00DA6393"/>
    <w:rsid w:val="00DA6666"/>
    <w:rsid w:val="00DA7E48"/>
    <w:rsid w:val="00DB2757"/>
    <w:rsid w:val="00DB2BC1"/>
    <w:rsid w:val="00DB3760"/>
    <w:rsid w:val="00DB38FD"/>
    <w:rsid w:val="00DB414B"/>
    <w:rsid w:val="00DB7D93"/>
    <w:rsid w:val="00DC2249"/>
    <w:rsid w:val="00DC3E3C"/>
    <w:rsid w:val="00DC4D6E"/>
    <w:rsid w:val="00DC597F"/>
    <w:rsid w:val="00DC741E"/>
    <w:rsid w:val="00DC778A"/>
    <w:rsid w:val="00DD20AD"/>
    <w:rsid w:val="00DD2617"/>
    <w:rsid w:val="00DD6819"/>
    <w:rsid w:val="00DD693E"/>
    <w:rsid w:val="00DD6FBA"/>
    <w:rsid w:val="00DE32F2"/>
    <w:rsid w:val="00DE6364"/>
    <w:rsid w:val="00DE6534"/>
    <w:rsid w:val="00DE675E"/>
    <w:rsid w:val="00DF26F9"/>
    <w:rsid w:val="00DF5CDF"/>
    <w:rsid w:val="00DF632B"/>
    <w:rsid w:val="00DF7EB5"/>
    <w:rsid w:val="00E00C67"/>
    <w:rsid w:val="00E02179"/>
    <w:rsid w:val="00E0343B"/>
    <w:rsid w:val="00E03451"/>
    <w:rsid w:val="00E039F9"/>
    <w:rsid w:val="00E0489E"/>
    <w:rsid w:val="00E05684"/>
    <w:rsid w:val="00E07781"/>
    <w:rsid w:val="00E10E90"/>
    <w:rsid w:val="00E14D5C"/>
    <w:rsid w:val="00E167C6"/>
    <w:rsid w:val="00E17EBA"/>
    <w:rsid w:val="00E25D03"/>
    <w:rsid w:val="00E260E0"/>
    <w:rsid w:val="00E30759"/>
    <w:rsid w:val="00E333BD"/>
    <w:rsid w:val="00E347B5"/>
    <w:rsid w:val="00E41DC4"/>
    <w:rsid w:val="00E42229"/>
    <w:rsid w:val="00E42D25"/>
    <w:rsid w:val="00E43C9F"/>
    <w:rsid w:val="00E457D2"/>
    <w:rsid w:val="00E46FA6"/>
    <w:rsid w:val="00E52EFD"/>
    <w:rsid w:val="00E54E97"/>
    <w:rsid w:val="00E5579D"/>
    <w:rsid w:val="00E63EAC"/>
    <w:rsid w:val="00E70583"/>
    <w:rsid w:val="00E75207"/>
    <w:rsid w:val="00E804BD"/>
    <w:rsid w:val="00E82091"/>
    <w:rsid w:val="00E82B2D"/>
    <w:rsid w:val="00E830B3"/>
    <w:rsid w:val="00E87AE3"/>
    <w:rsid w:val="00E9053D"/>
    <w:rsid w:val="00E92BC4"/>
    <w:rsid w:val="00E97746"/>
    <w:rsid w:val="00EA1CC1"/>
    <w:rsid w:val="00EA23CA"/>
    <w:rsid w:val="00EA23F3"/>
    <w:rsid w:val="00EA2414"/>
    <w:rsid w:val="00EA2D63"/>
    <w:rsid w:val="00EB268B"/>
    <w:rsid w:val="00EB39B3"/>
    <w:rsid w:val="00EB4858"/>
    <w:rsid w:val="00EB54F7"/>
    <w:rsid w:val="00EC02E7"/>
    <w:rsid w:val="00EC177D"/>
    <w:rsid w:val="00EC43DA"/>
    <w:rsid w:val="00EC6CD0"/>
    <w:rsid w:val="00EC765F"/>
    <w:rsid w:val="00EC77CD"/>
    <w:rsid w:val="00ED0BA4"/>
    <w:rsid w:val="00ED4C78"/>
    <w:rsid w:val="00EE1DC1"/>
    <w:rsid w:val="00EE46A4"/>
    <w:rsid w:val="00EE5D4F"/>
    <w:rsid w:val="00EE656F"/>
    <w:rsid w:val="00EE7042"/>
    <w:rsid w:val="00EF5A12"/>
    <w:rsid w:val="00EF6D5C"/>
    <w:rsid w:val="00EF78C7"/>
    <w:rsid w:val="00F002C1"/>
    <w:rsid w:val="00F01D66"/>
    <w:rsid w:val="00F01EED"/>
    <w:rsid w:val="00F02DC2"/>
    <w:rsid w:val="00F12447"/>
    <w:rsid w:val="00F13357"/>
    <w:rsid w:val="00F157A8"/>
    <w:rsid w:val="00F15E5D"/>
    <w:rsid w:val="00F165BF"/>
    <w:rsid w:val="00F20ED0"/>
    <w:rsid w:val="00F21607"/>
    <w:rsid w:val="00F2184F"/>
    <w:rsid w:val="00F23920"/>
    <w:rsid w:val="00F24E05"/>
    <w:rsid w:val="00F25455"/>
    <w:rsid w:val="00F27442"/>
    <w:rsid w:val="00F35F39"/>
    <w:rsid w:val="00F369D6"/>
    <w:rsid w:val="00F36D12"/>
    <w:rsid w:val="00F4067D"/>
    <w:rsid w:val="00F4137F"/>
    <w:rsid w:val="00F458F8"/>
    <w:rsid w:val="00F53EAF"/>
    <w:rsid w:val="00F544DE"/>
    <w:rsid w:val="00F551D2"/>
    <w:rsid w:val="00F57147"/>
    <w:rsid w:val="00F60980"/>
    <w:rsid w:val="00F616A0"/>
    <w:rsid w:val="00F620A5"/>
    <w:rsid w:val="00F63570"/>
    <w:rsid w:val="00F64819"/>
    <w:rsid w:val="00F64A31"/>
    <w:rsid w:val="00F6732E"/>
    <w:rsid w:val="00F74431"/>
    <w:rsid w:val="00F75110"/>
    <w:rsid w:val="00F81A98"/>
    <w:rsid w:val="00F83D68"/>
    <w:rsid w:val="00F86BDC"/>
    <w:rsid w:val="00F87426"/>
    <w:rsid w:val="00F900E1"/>
    <w:rsid w:val="00F90957"/>
    <w:rsid w:val="00F91B79"/>
    <w:rsid w:val="00FA52DF"/>
    <w:rsid w:val="00FA6E07"/>
    <w:rsid w:val="00FB1CAB"/>
    <w:rsid w:val="00FB24C4"/>
    <w:rsid w:val="00FB40C3"/>
    <w:rsid w:val="00FB4B3F"/>
    <w:rsid w:val="00FB638E"/>
    <w:rsid w:val="00FC343A"/>
    <w:rsid w:val="00FC6B7B"/>
    <w:rsid w:val="00FD4306"/>
    <w:rsid w:val="00FD45A9"/>
    <w:rsid w:val="00FD6391"/>
    <w:rsid w:val="00FE03E7"/>
    <w:rsid w:val="00FE203B"/>
    <w:rsid w:val="00FE4659"/>
    <w:rsid w:val="00FE4F81"/>
    <w:rsid w:val="00FE67FB"/>
    <w:rsid w:val="00FE6802"/>
    <w:rsid w:val="00FE7590"/>
    <w:rsid w:val="00FF0CB7"/>
    <w:rsid w:val="00FF5D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74C2A"/>
  <w15:docId w15:val="{E636496D-9DDC-4622-9570-470A7D9B3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CA6"/>
  </w:style>
  <w:style w:type="paragraph" w:styleId="Balk3">
    <w:name w:val="heading 3"/>
    <w:basedOn w:val="Normal"/>
    <w:next w:val="Normal"/>
    <w:link w:val="Balk3Char"/>
    <w:uiPriority w:val="9"/>
    <w:semiHidden/>
    <w:unhideWhenUsed/>
    <w:qFormat/>
    <w:rsid w:val="008B440F"/>
    <w:pPr>
      <w:keepNext/>
      <w:keepLines/>
      <w:spacing w:before="200" w:after="0"/>
      <w:outlineLvl w:val="2"/>
    </w:pPr>
    <w:rPr>
      <w:rFonts w:asciiTheme="majorHAnsi" w:eastAsiaTheme="majorEastAsia" w:hAnsiTheme="majorHAnsi" w:cstheme="majorBidi"/>
      <w:b/>
      <w:bCs/>
      <w:color w:val="4F81BD" w:themeColor="accent1"/>
    </w:rPr>
  </w:style>
  <w:style w:type="paragraph" w:styleId="Balk7">
    <w:name w:val="heading 7"/>
    <w:basedOn w:val="Normal"/>
    <w:next w:val="Normal"/>
    <w:link w:val="Balk7Char"/>
    <w:uiPriority w:val="9"/>
    <w:unhideWhenUsed/>
    <w:qFormat/>
    <w:rsid w:val="0067087B"/>
    <w:pPr>
      <w:spacing w:before="240" w:after="60"/>
      <w:jc w:val="both"/>
      <w:outlineLvl w:val="6"/>
    </w:pPr>
    <w:rPr>
      <w:rFonts w:ascii="Palatino Linotype" w:eastAsia="Times New Roman" w:hAnsi="Palatino Linotype" w:cs="Times New Roman"/>
      <w:b/>
      <w:sz w:val="24"/>
      <w:szCs w:val="24"/>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elgeBalantlar">
    <w:name w:val="Document Map"/>
    <w:basedOn w:val="Normal"/>
    <w:link w:val="BelgeBalantlarChar"/>
    <w:uiPriority w:val="99"/>
    <w:semiHidden/>
    <w:unhideWhenUsed/>
    <w:rsid w:val="00C16801"/>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C16801"/>
    <w:rPr>
      <w:rFonts w:ascii="Tahoma" w:hAnsi="Tahoma" w:cs="Tahoma"/>
      <w:sz w:val="16"/>
      <w:szCs w:val="16"/>
    </w:rPr>
  </w:style>
  <w:style w:type="paragraph" w:styleId="ListeParagraf">
    <w:name w:val="List Paragraph"/>
    <w:basedOn w:val="Normal"/>
    <w:uiPriority w:val="34"/>
    <w:qFormat/>
    <w:rsid w:val="00EB4858"/>
    <w:pPr>
      <w:ind w:left="720"/>
      <w:contextualSpacing/>
    </w:pPr>
  </w:style>
  <w:style w:type="paragraph" w:styleId="BalonMetni">
    <w:name w:val="Balloon Text"/>
    <w:basedOn w:val="Normal"/>
    <w:link w:val="BalonMetniChar"/>
    <w:uiPriority w:val="99"/>
    <w:semiHidden/>
    <w:unhideWhenUsed/>
    <w:rsid w:val="00DC3E3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C3E3C"/>
    <w:rPr>
      <w:rFonts w:ascii="Tahoma" w:hAnsi="Tahoma" w:cs="Tahoma"/>
      <w:sz w:val="16"/>
      <w:szCs w:val="16"/>
    </w:rPr>
  </w:style>
  <w:style w:type="paragraph" w:styleId="stBilgi">
    <w:name w:val="header"/>
    <w:basedOn w:val="Normal"/>
    <w:link w:val="stBilgiChar"/>
    <w:uiPriority w:val="99"/>
    <w:unhideWhenUsed/>
    <w:rsid w:val="00374FF4"/>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374FF4"/>
  </w:style>
  <w:style w:type="paragraph" w:styleId="AltBilgi">
    <w:name w:val="footer"/>
    <w:basedOn w:val="Normal"/>
    <w:link w:val="AltBilgiChar"/>
    <w:uiPriority w:val="99"/>
    <w:unhideWhenUsed/>
    <w:rsid w:val="00374FF4"/>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374FF4"/>
  </w:style>
  <w:style w:type="paragraph" w:customStyle="1" w:styleId="JuPara">
    <w:name w:val="Ju_Para"/>
    <w:aliases w:val="_Para,ECHR_Para"/>
    <w:basedOn w:val="Normal"/>
    <w:link w:val="JuParaChar"/>
    <w:uiPriority w:val="4"/>
    <w:qFormat/>
    <w:rsid w:val="009C0F26"/>
    <w:pPr>
      <w:spacing w:after="0" w:line="240" w:lineRule="auto"/>
      <w:ind w:firstLine="284"/>
      <w:jc w:val="both"/>
    </w:pPr>
    <w:rPr>
      <w:sz w:val="24"/>
      <w:szCs w:val="24"/>
      <w:lang w:val="en-GB"/>
    </w:rPr>
  </w:style>
  <w:style w:type="character" w:customStyle="1" w:styleId="JuParaChar">
    <w:name w:val="Ju_Para Char"/>
    <w:aliases w:val="_Para Char,ECHR_Para Char"/>
    <w:link w:val="JuPara"/>
    <w:uiPriority w:val="4"/>
    <w:qFormat/>
    <w:locked/>
    <w:rsid w:val="009C0F26"/>
    <w:rPr>
      <w:sz w:val="24"/>
      <w:szCs w:val="24"/>
      <w:lang w:val="en-GB"/>
    </w:rPr>
  </w:style>
  <w:style w:type="character" w:styleId="Vurgu">
    <w:name w:val="Emphasis"/>
    <w:basedOn w:val="VarsaylanParagrafYazTipi"/>
    <w:uiPriority w:val="20"/>
    <w:qFormat/>
    <w:rsid w:val="00607D03"/>
    <w:rPr>
      <w:i/>
      <w:iCs/>
    </w:rPr>
  </w:style>
  <w:style w:type="character" w:customStyle="1" w:styleId="sb8d990e2">
    <w:name w:val="sb8d990e2"/>
    <w:rsid w:val="00B041B3"/>
  </w:style>
  <w:style w:type="character" w:customStyle="1" w:styleId="s6b621b36">
    <w:name w:val="s6b621b36"/>
    <w:basedOn w:val="VarsaylanParagrafYazTipi"/>
    <w:rsid w:val="007049EE"/>
  </w:style>
  <w:style w:type="character" w:styleId="Kpr">
    <w:name w:val="Hyperlink"/>
    <w:basedOn w:val="VarsaylanParagrafYazTipi"/>
    <w:uiPriority w:val="99"/>
    <w:semiHidden/>
    <w:unhideWhenUsed/>
    <w:rsid w:val="007049EE"/>
    <w:rPr>
      <w:color w:val="0000FF"/>
      <w:u w:val="single"/>
    </w:rPr>
  </w:style>
  <w:style w:type="paragraph" w:styleId="DipnotMetni">
    <w:name w:val="footnote text"/>
    <w:aliases w:val="Dipnot Metni Char Char Char Char,Dipnot Metni Char Char Char"/>
    <w:basedOn w:val="Normal"/>
    <w:link w:val="DipnotMetniChar"/>
    <w:uiPriority w:val="99"/>
    <w:unhideWhenUsed/>
    <w:rsid w:val="00043E3C"/>
    <w:pPr>
      <w:jc w:val="both"/>
    </w:pPr>
    <w:rPr>
      <w:rFonts w:ascii="Times New Roman" w:eastAsia="SimSun" w:hAnsi="Times New Roman" w:cs="Times New Roman"/>
      <w:sz w:val="20"/>
      <w:szCs w:val="20"/>
      <w:lang w:eastAsia="zh-CN"/>
    </w:rPr>
  </w:style>
  <w:style w:type="character" w:customStyle="1" w:styleId="DipnotMetniChar">
    <w:name w:val="Dipnot Metni Char"/>
    <w:aliases w:val="Dipnot Metni Char Char Char Char Char,Dipnot Metni Char Char Char Char1"/>
    <w:basedOn w:val="VarsaylanParagrafYazTipi"/>
    <w:link w:val="DipnotMetni"/>
    <w:uiPriority w:val="99"/>
    <w:rsid w:val="00043E3C"/>
    <w:rPr>
      <w:rFonts w:ascii="Times New Roman" w:eastAsia="SimSun" w:hAnsi="Times New Roman" w:cs="Times New Roman"/>
      <w:sz w:val="20"/>
      <w:szCs w:val="20"/>
      <w:lang w:eastAsia="zh-CN"/>
    </w:rPr>
  </w:style>
  <w:style w:type="character" w:styleId="DipnotBavurusu">
    <w:name w:val="footnote reference"/>
    <w:aliases w:val="4_G,Footnotes refss,Appel note de bas de p.,Footnote text,ftref"/>
    <w:uiPriority w:val="99"/>
    <w:unhideWhenUsed/>
    <w:qFormat/>
    <w:rsid w:val="00043E3C"/>
    <w:rPr>
      <w:rFonts w:ascii="Calibri" w:eastAsia="SimSun" w:hAnsi="Calibri" w:cs="Times New Roman"/>
      <w:vertAlign w:val="superscript"/>
    </w:rPr>
  </w:style>
  <w:style w:type="paragraph" w:styleId="DzMetin">
    <w:name w:val="Plain Text"/>
    <w:basedOn w:val="Normal"/>
    <w:link w:val="DzMetinChar"/>
    <w:rsid w:val="006B1958"/>
    <w:pPr>
      <w:spacing w:after="0" w:line="240" w:lineRule="auto"/>
      <w:jc w:val="both"/>
    </w:pPr>
    <w:rPr>
      <w:rFonts w:ascii="Courier New" w:eastAsia="Times New Roman" w:hAnsi="Courier New" w:cs="Times New Roman"/>
      <w:sz w:val="20"/>
      <w:szCs w:val="20"/>
      <w:lang w:eastAsia="zh-CN"/>
    </w:rPr>
  </w:style>
  <w:style w:type="character" w:customStyle="1" w:styleId="DzMetinChar">
    <w:name w:val="Düz Metin Char"/>
    <w:basedOn w:val="VarsaylanParagrafYazTipi"/>
    <w:link w:val="DzMetin"/>
    <w:rsid w:val="006B1958"/>
    <w:rPr>
      <w:rFonts w:ascii="Courier New" w:eastAsia="Times New Roman" w:hAnsi="Courier New" w:cs="Times New Roman"/>
      <w:sz w:val="20"/>
      <w:szCs w:val="20"/>
      <w:lang w:eastAsia="zh-CN"/>
    </w:rPr>
  </w:style>
  <w:style w:type="paragraph" w:customStyle="1" w:styleId="DIPSON">
    <w:name w:val="DIP SON"/>
    <w:basedOn w:val="Normal"/>
    <w:uiPriority w:val="99"/>
    <w:rsid w:val="0067087B"/>
    <w:pPr>
      <w:keepLines/>
      <w:autoSpaceDE w:val="0"/>
      <w:autoSpaceDN w:val="0"/>
      <w:adjustRightInd w:val="0"/>
      <w:spacing w:after="0" w:line="288" w:lineRule="auto"/>
      <w:ind w:left="283" w:hanging="283"/>
      <w:jc w:val="both"/>
      <w:textAlignment w:val="center"/>
    </w:pPr>
    <w:rPr>
      <w:rFonts w:ascii="Palatino Linotype" w:eastAsia="Calibri" w:hAnsi="Palatino Linotype" w:cs="Palatino Linotype"/>
      <w:color w:val="000000"/>
      <w:sz w:val="16"/>
      <w:szCs w:val="16"/>
    </w:rPr>
  </w:style>
  <w:style w:type="character" w:customStyle="1" w:styleId="Balk7Char">
    <w:name w:val="Başlık 7 Char"/>
    <w:basedOn w:val="VarsaylanParagrafYazTipi"/>
    <w:link w:val="Balk7"/>
    <w:uiPriority w:val="9"/>
    <w:rsid w:val="0067087B"/>
    <w:rPr>
      <w:rFonts w:ascii="Palatino Linotype" w:eastAsia="Times New Roman" w:hAnsi="Palatino Linotype" w:cs="Times New Roman"/>
      <w:b/>
      <w:sz w:val="24"/>
      <w:szCs w:val="24"/>
      <w:lang w:eastAsia="zh-CN"/>
    </w:rPr>
  </w:style>
  <w:style w:type="character" w:styleId="HafifVurgulama">
    <w:name w:val="Subtle Emphasis"/>
    <w:basedOn w:val="VarsaylanParagrafYazTipi"/>
    <w:uiPriority w:val="99"/>
    <w:qFormat/>
    <w:rsid w:val="0076685A"/>
    <w:rPr>
      <w:rFonts w:ascii="Calibri" w:eastAsia="SimSun" w:hAnsi="Calibri" w:cs="Times New Roman"/>
      <w:i/>
      <w:iCs/>
      <w:color w:val="808080"/>
    </w:rPr>
  </w:style>
  <w:style w:type="paragraph" w:customStyle="1" w:styleId="Default">
    <w:name w:val="Default"/>
    <w:rsid w:val="00B60AE6"/>
    <w:pPr>
      <w:autoSpaceDE w:val="0"/>
      <w:autoSpaceDN w:val="0"/>
      <w:adjustRightInd w:val="0"/>
      <w:spacing w:after="0" w:line="240" w:lineRule="auto"/>
    </w:pPr>
    <w:rPr>
      <w:rFonts w:ascii="Times New Roman" w:eastAsia="SimSun" w:hAnsi="Times New Roman" w:cs="Times New Roman"/>
      <w:color w:val="000000"/>
      <w:sz w:val="24"/>
      <w:szCs w:val="24"/>
      <w:lang w:eastAsia="tr-TR"/>
    </w:rPr>
  </w:style>
  <w:style w:type="paragraph" w:styleId="NormalWeb">
    <w:name w:val="Normal (Web)"/>
    <w:basedOn w:val="Normal"/>
    <w:uiPriority w:val="99"/>
    <w:unhideWhenUsed/>
    <w:rsid w:val="000D044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hvl-default">
    <w:name w:val="hvl-default"/>
    <w:rsid w:val="000A7B71"/>
    <w:pPr>
      <w:widowControl w:val="0"/>
      <w:suppressAutoHyphens/>
      <w:spacing w:after="0" w:line="240" w:lineRule="auto"/>
    </w:pPr>
    <w:rPr>
      <w:rFonts w:ascii="Times New Roman" w:eastAsia="Andale Sans UI" w:hAnsi="Times New Roman" w:cs="Tahoma"/>
      <w:kern w:val="1"/>
      <w:sz w:val="24"/>
      <w:szCs w:val="24"/>
      <w:lang w:val="de-DE" w:eastAsia="fa-IR" w:bidi="fa-IR"/>
    </w:rPr>
  </w:style>
  <w:style w:type="paragraph" w:styleId="Alnt">
    <w:name w:val="Quote"/>
    <w:basedOn w:val="Normal"/>
    <w:next w:val="Normal"/>
    <w:link w:val="AlntChar2"/>
    <w:uiPriority w:val="29"/>
    <w:qFormat/>
    <w:rsid w:val="000C70E8"/>
    <w:pPr>
      <w:spacing w:before="200" w:after="160"/>
      <w:ind w:left="864" w:right="864"/>
      <w:jc w:val="center"/>
    </w:pPr>
    <w:rPr>
      <w:rFonts w:ascii="Times New Roman" w:eastAsia="SimSun" w:hAnsi="Times New Roman" w:cs="Times New Roman"/>
      <w:i/>
      <w:iCs/>
      <w:color w:val="000000"/>
      <w:sz w:val="28"/>
      <w:lang w:eastAsia="zh-CN"/>
    </w:rPr>
  </w:style>
  <w:style w:type="character" w:customStyle="1" w:styleId="AlntChar2">
    <w:name w:val="Alıntı Char2"/>
    <w:link w:val="Alnt"/>
    <w:uiPriority w:val="29"/>
    <w:rsid w:val="000C70E8"/>
    <w:rPr>
      <w:rFonts w:ascii="Times New Roman" w:eastAsia="SimSun" w:hAnsi="Times New Roman" w:cs="Times New Roman"/>
      <w:i/>
      <w:iCs/>
      <w:color w:val="000000"/>
      <w:sz w:val="28"/>
      <w:szCs w:val="22"/>
      <w:lang w:eastAsia="zh-CN"/>
    </w:rPr>
  </w:style>
  <w:style w:type="character" w:customStyle="1" w:styleId="AlntChar1">
    <w:name w:val="Alıntı Char1"/>
    <w:basedOn w:val="VarsaylanParagrafYazTipi"/>
    <w:uiPriority w:val="29"/>
    <w:rsid w:val="000C70E8"/>
    <w:rPr>
      <w:i/>
      <w:iCs/>
      <w:color w:val="404040" w:themeColor="text1" w:themeTint="BF"/>
    </w:rPr>
  </w:style>
  <w:style w:type="character" w:styleId="Gl">
    <w:name w:val="Strong"/>
    <w:basedOn w:val="VarsaylanParagrafYazTipi"/>
    <w:uiPriority w:val="22"/>
    <w:qFormat/>
    <w:rsid w:val="008159AB"/>
    <w:rPr>
      <w:b/>
      <w:bCs/>
    </w:rPr>
  </w:style>
  <w:style w:type="character" w:customStyle="1" w:styleId="column">
    <w:name w:val="column"/>
    <w:basedOn w:val="VarsaylanParagrafYazTipi"/>
    <w:rsid w:val="008D4ED8"/>
  </w:style>
  <w:style w:type="character" w:customStyle="1" w:styleId="Balk3Char">
    <w:name w:val="Başlık 3 Char"/>
    <w:basedOn w:val="VarsaylanParagrafYazTipi"/>
    <w:link w:val="Balk3"/>
    <w:uiPriority w:val="9"/>
    <w:semiHidden/>
    <w:rsid w:val="008B440F"/>
    <w:rPr>
      <w:rFonts w:asciiTheme="majorHAnsi" w:eastAsiaTheme="majorEastAsia" w:hAnsiTheme="majorHAnsi" w:cstheme="majorBidi"/>
      <w:b/>
      <w:bCs/>
      <w:color w:val="4F81BD" w:themeColor="accent1"/>
    </w:rPr>
  </w:style>
  <w:style w:type="character" w:customStyle="1" w:styleId="AlntChar">
    <w:name w:val="Alıntı Char"/>
    <w:uiPriority w:val="29"/>
    <w:rsid w:val="008B440F"/>
    <w:rPr>
      <w:rFonts w:ascii="Times New Roman" w:eastAsia="SimSun" w:hAnsi="Times New Roman" w:cs="Times New Roman"/>
      <w:i/>
      <w:iCs/>
      <w:color w:val="000000"/>
      <w:sz w:val="28"/>
      <w:szCs w:val="22"/>
      <w:lang w:eastAsia="zh-CN"/>
    </w:rPr>
  </w:style>
  <w:style w:type="character" w:customStyle="1" w:styleId="dairekarari">
    <w:name w:val="dairekarari"/>
    <w:basedOn w:val="VarsaylanParagrafYazTipi"/>
    <w:rsid w:val="00D64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787638">
      <w:bodyDiv w:val="1"/>
      <w:marLeft w:val="0"/>
      <w:marRight w:val="0"/>
      <w:marTop w:val="0"/>
      <w:marBottom w:val="0"/>
      <w:divBdr>
        <w:top w:val="none" w:sz="0" w:space="0" w:color="auto"/>
        <w:left w:val="none" w:sz="0" w:space="0" w:color="auto"/>
        <w:bottom w:val="none" w:sz="0" w:space="0" w:color="auto"/>
        <w:right w:val="none" w:sz="0" w:space="0" w:color="auto"/>
      </w:divBdr>
    </w:div>
    <w:div w:id="540021804">
      <w:bodyDiv w:val="1"/>
      <w:marLeft w:val="0"/>
      <w:marRight w:val="0"/>
      <w:marTop w:val="0"/>
      <w:marBottom w:val="0"/>
      <w:divBdr>
        <w:top w:val="none" w:sz="0" w:space="0" w:color="auto"/>
        <w:left w:val="none" w:sz="0" w:space="0" w:color="auto"/>
        <w:bottom w:val="none" w:sz="0" w:space="0" w:color="auto"/>
        <w:right w:val="none" w:sz="0" w:space="0" w:color="auto"/>
      </w:divBdr>
    </w:div>
    <w:div w:id="828449137">
      <w:bodyDiv w:val="1"/>
      <w:marLeft w:val="0"/>
      <w:marRight w:val="0"/>
      <w:marTop w:val="0"/>
      <w:marBottom w:val="0"/>
      <w:divBdr>
        <w:top w:val="none" w:sz="0" w:space="0" w:color="auto"/>
        <w:left w:val="none" w:sz="0" w:space="0" w:color="auto"/>
        <w:bottom w:val="none" w:sz="0" w:space="0" w:color="auto"/>
        <w:right w:val="none" w:sz="0" w:space="0" w:color="auto"/>
      </w:divBdr>
    </w:div>
    <w:div w:id="1201866012">
      <w:bodyDiv w:val="1"/>
      <w:marLeft w:val="0"/>
      <w:marRight w:val="0"/>
      <w:marTop w:val="0"/>
      <w:marBottom w:val="0"/>
      <w:divBdr>
        <w:top w:val="none" w:sz="0" w:space="0" w:color="auto"/>
        <w:left w:val="none" w:sz="0" w:space="0" w:color="auto"/>
        <w:bottom w:val="none" w:sz="0" w:space="0" w:color="auto"/>
        <w:right w:val="none" w:sz="0" w:space="0" w:color="auto"/>
      </w:divBdr>
    </w:div>
    <w:div w:id="184929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6BBDF-4D31-4729-AB81-2B991C6A5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11514</Words>
  <Characters>65632</Characters>
  <Application>Microsoft Office Word</Application>
  <DocSecurity>0</DocSecurity>
  <Lines>546</Lines>
  <Paragraphs>153</Paragraphs>
  <ScaleCrop>false</ScaleCrop>
  <HeadingPairs>
    <vt:vector size="6" baseType="variant">
      <vt:variant>
        <vt:lpstr>Konu Başlığı</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NeC</Company>
  <LinksUpToDate>false</LinksUpToDate>
  <CharactersWithSpaces>76993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nn hh</cp:lastModifiedBy>
  <cp:revision>2</cp:revision>
  <dcterms:created xsi:type="dcterms:W3CDTF">2025-08-04T23:05:00Z</dcterms:created>
  <dcterms:modified xsi:type="dcterms:W3CDTF">2025-08-04T23:05:00Z</dcterms:modified>
</cp:coreProperties>
</file>