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4083" w14:textId="77777777" w:rsidR="0008253A" w:rsidRPr="00852BA3" w:rsidRDefault="00CB1D6C"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
        <w:jc w:val="center"/>
        <w:outlineLvl w:val="0"/>
        <w:rPr>
          <w:rFonts w:ascii="Arial Narrow" w:hAnsi="Arial Narrow" w:cs="Times New Roman"/>
          <w:b/>
          <w:bCs/>
          <w:sz w:val="23"/>
          <w:szCs w:val="23"/>
          <w:u w:val="single"/>
        </w:rPr>
      </w:pPr>
      <w:r w:rsidRPr="00852BA3">
        <w:rPr>
          <w:rFonts w:ascii="Arial Narrow" w:hAnsi="Arial Narrow" w:cs="Times New Roman"/>
          <w:b/>
          <w:bCs/>
          <w:sz w:val="23"/>
          <w:szCs w:val="23"/>
          <w:u w:val="single"/>
        </w:rPr>
        <w:t>BAŞVURUYA</w:t>
      </w:r>
      <w:r w:rsidR="002675F6" w:rsidRPr="00852BA3">
        <w:rPr>
          <w:rFonts w:ascii="Arial Narrow" w:hAnsi="Arial Narrow" w:cs="Times New Roman"/>
          <w:b/>
          <w:bCs/>
          <w:sz w:val="23"/>
          <w:szCs w:val="23"/>
          <w:u w:val="single"/>
        </w:rPr>
        <w:t xml:space="preserve"> </w:t>
      </w:r>
      <w:r w:rsidR="0008253A" w:rsidRPr="00852BA3">
        <w:rPr>
          <w:rFonts w:ascii="Arial Narrow" w:hAnsi="Arial Narrow" w:cs="Times New Roman"/>
          <w:b/>
          <w:bCs/>
          <w:sz w:val="23"/>
          <w:szCs w:val="23"/>
          <w:u w:val="single"/>
        </w:rPr>
        <w:t>İLİŞKİN</w:t>
      </w:r>
      <w:r w:rsidR="002675F6" w:rsidRPr="00852BA3">
        <w:rPr>
          <w:rFonts w:ascii="Arial Narrow" w:hAnsi="Arial Narrow" w:cs="Times New Roman"/>
          <w:b/>
          <w:bCs/>
          <w:sz w:val="23"/>
          <w:szCs w:val="23"/>
          <w:u w:val="single"/>
        </w:rPr>
        <w:t xml:space="preserve"> AÇIKLAMALAR</w:t>
      </w:r>
    </w:p>
    <w:p w14:paraId="4AC9DB93" w14:textId="77777777" w:rsidR="00293898" w:rsidRPr="00852BA3" w:rsidRDefault="00293898"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
        <w:jc w:val="both"/>
        <w:outlineLvl w:val="0"/>
        <w:rPr>
          <w:rFonts w:ascii="Arial Narrow" w:hAnsi="Arial Narrow" w:cs="Times New Roman"/>
          <w:b/>
          <w:bCs/>
          <w:sz w:val="23"/>
          <w:szCs w:val="23"/>
        </w:rPr>
      </w:pPr>
      <w:r w:rsidRPr="00852BA3">
        <w:rPr>
          <w:rFonts w:ascii="Arial Narrow" w:hAnsi="Arial Narrow" w:cs="Times New Roman"/>
          <w:b/>
          <w:bCs/>
          <w:sz w:val="23"/>
          <w:szCs w:val="23"/>
        </w:rPr>
        <w:t>Başvurucu: ….</w:t>
      </w:r>
    </w:p>
    <w:p w14:paraId="3CF96527" w14:textId="77777777" w:rsidR="002815C1" w:rsidRPr="00852BA3" w:rsidRDefault="002815C1"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
        <w:jc w:val="both"/>
        <w:outlineLvl w:val="0"/>
        <w:rPr>
          <w:rFonts w:ascii="Arial Narrow" w:hAnsi="Arial Narrow" w:cs="Times New Roman"/>
          <w:b/>
          <w:bCs/>
          <w:sz w:val="23"/>
          <w:szCs w:val="23"/>
        </w:rPr>
      </w:pPr>
    </w:p>
    <w:p w14:paraId="46AA5F56" w14:textId="77777777" w:rsidR="00293898" w:rsidRPr="00852BA3" w:rsidRDefault="00293898"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
        <w:jc w:val="both"/>
        <w:outlineLvl w:val="0"/>
        <w:rPr>
          <w:rFonts w:ascii="Arial Narrow" w:eastAsia="Times New Roman" w:hAnsi="Arial Narrow" w:cs="Times New Roman"/>
          <w:b/>
          <w:bCs/>
          <w:sz w:val="23"/>
          <w:szCs w:val="23"/>
          <w:lang w:eastAsia="tr-TR"/>
        </w:rPr>
      </w:pPr>
      <w:r w:rsidRPr="00852BA3">
        <w:rPr>
          <w:rFonts w:ascii="Arial Narrow" w:eastAsia="Times New Roman" w:hAnsi="Arial Narrow" w:cs="Times New Roman"/>
          <w:b/>
          <w:bCs/>
          <w:sz w:val="23"/>
          <w:szCs w:val="23"/>
          <w:lang w:eastAsia="tr-TR"/>
        </w:rPr>
        <w:t>1) Kötü Muamele Yasağı</w:t>
      </w:r>
    </w:p>
    <w:p w14:paraId="71029F24" w14:textId="77777777" w:rsidR="00D7125A" w:rsidRDefault="00D7125A"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Pr>
          <w:rFonts w:ascii="Arial Narrow" w:hAnsi="Arial Narrow" w:cs="Times New Roman"/>
          <w:sz w:val="24"/>
          <w:szCs w:val="24"/>
        </w:rPr>
        <w:t>Başvurucu, g</w:t>
      </w:r>
      <w:r w:rsidRPr="00614020">
        <w:rPr>
          <w:rFonts w:ascii="Arial Narrow" w:hAnsi="Arial Narrow" w:cs="Times New Roman"/>
          <w:sz w:val="24"/>
          <w:szCs w:val="24"/>
        </w:rPr>
        <w:t xml:space="preserve">özaltındayken darp, cebir, şiddet, tehdit, küfür, uzun süre yemek vermeme, elleri arkadan kelepçeli saatlerce bekletilme, nezarethanede çok sayıda kişiyle bir araya konulmak gözlerimin bağlanması, başıma çuval geçirilmesi gibi </w:t>
      </w:r>
      <w:r w:rsidRPr="00614020">
        <w:rPr>
          <w:rFonts w:ascii="Arial Narrow" w:hAnsi="Arial Narrow" w:cs="Times New Roman"/>
          <w:b/>
          <w:bCs/>
          <w:i/>
          <w:sz w:val="24"/>
          <w:szCs w:val="24"/>
          <w:u w:val="single"/>
        </w:rPr>
        <w:t>(Neler olduğu belirtilmeli)</w:t>
      </w:r>
      <w:r w:rsidRPr="00614020">
        <w:rPr>
          <w:rFonts w:ascii="Arial Narrow" w:hAnsi="Arial Narrow" w:cs="Times New Roman"/>
          <w:sz w:val="24"/>
          <w:szCs w:val="24"/>
        </w:rPr>
        <w:t xml:space="preserve"> davranışlara maruz kal</w:t>
      </w:r>
      <w:r>
        <w:rPr>
          <w:rFonts w:ascii="Arial Narrow" w:hAnsi="Arial Narrow" w:cs="Times New Roman"/>
          <w:sz w:val="24"/>
          <w:szCs w:val="24"/>
        </w:rPr>
        <w:t>mıştır</w:t>
      </w:r>
      <w:r w:rsidRPr="00614020">
        <w:rPr>
          <w:rFonts w:ascii="Arial Narrow" w:hAnsi="Arial Narrow" w:cs="Times New Roman"/>
          <w:sz w:val="24"/>
          <w:szCs w:val="24"/>
        </w:rPr>
        <w:t>. Bu muameleleri, savunmaları</w:t>
      </w:r>
      <w:r>
        <w:rPr>
          <w:rFonts w:ascii="Arial Narrow" w:hAnsi="Arial Narrow" w:cs="Times New Roman"/>
          <w:sz w:val="24"/>
          <w:szCs w:val="24"/>
        </w:rPr>
        <w:t>n</w:t>
      </w:r>
      <w:r w:rsidRPr="00614020">
        <w:rPr>
          <w:rFonts w:ascii="Arial Narrow" w:hAnsi="Arial Narrow" w:cs="Times New Roman"/>
          <w:sz w:val="24"/>
          <w:szCs w:val="24"/>
        </w:rPr>
        <w:t>da ve dilekçeleri</w:t>
      </w:r>
      <w:r>
        <w:rPr>
          <w:rFonts w:ascii="Arial Narrow" w:hAnsi="Arial Narrow" w:cs="Times New Roman"/>
          <w:sz w:val="24"/>
          <w:szCs w:val="24"/>
        </w:rPr>
        <w:t>n</w:t>
      </w:r>
      <w:r w:rsidRPr="00614020">
        <w:rPr>
          <w:rFonts w:ascii="Arial Narrow" w:hAnsi="Arial Narrow" w:cs="Times New Roman"/>
          <w:sz w:val="24"/>
          <w:szCs w:val="24"/>
        </w:rPr>
        <w:t>de dile getirme</w:t>
      </w:r>
      <w:r>
        <w:rPr>
          <w:rFonts w:ascii="Arial Narrow" w:hAnsi="Arial Narrow" w:cs="Times New Roman"/>
          <w:sz w:val="24"/>
          <w:szCs w:val="24"/>
        </w:rPr>
        <w:t xml:space="preserve">sine </w:t>
      </w:r>
      <w:r w:rsidRPr="00614020">
        <w:rPr>
          <w:rFonts w:ascii="Arial Narrow" w:hAnsi="Arial Narrow" w:cs="Times New Roman"/>
          <w:sz w:val="24"/>
          <w:szCs w:val="24"/>
        </w:rPr>
        <w:t>rağmen; ilgili yargı makamları, sorumlular hakkında herhangi bir suç duyurusunda bulunmamışlardır. Kamu görevlileri eliyle kötü muameleye uğramam ve bu husus, kamu makamlarının dikkatine sunulmasına rağmen; sorumlu kişilerin tespit edilmesine ve cezalandırılmasına yönelik bir soruşturma başlatılmaması nedeniyle kötü muamele yasağı ihlal edilmiştir</w:t>
      </w:r>
      <w:r>
        <w:rPr>
          <w:rFonts w:ascii="Arial Narrow" w:hAnsi="Arial Narrow" w:cs="Times New Roman"/>
          <w:sz w:val="24"/>
          <w:szCs w:val="24"/>
        </w:rPr>
        <w:t>.</w:t>
      </w:r>
    </w:p>
    <w:p w14:paraId="69B87ECD" w14:textId="77777777" w:rsidR="00C35BFE" w:rsidRPr="00852BA3" w:rsidRDefault="00293898"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
        <w:jc w:val="both"/>
        <w:rPr>
          <w:rFonts w:ascii="Arial Narrow" w:hAnsi="Arial Narrow" w:cs="Times New Roman"/>
          <w:sz w:val="23"/>
          <w:szCs w:val="23"/>
        </w:rPr>
      </w:pPr>
      <w:r w:rsidRPr="00852BA3">
        <w:rPr>
          <w:rFonts w:ascii="Arial Narrow" w:eastAsia="Times New Roman" w:hAnsi="Arial Narrow" w:cs="Times New Roman"/>
          <w:b/>
          <w:bCs/>
          <w:sz w:val="23"/>
          <w:szCs w:val="23"/>
          <w:lang w:eastAsia="tr-TR"/>
        </w:rPr>
        <w:t>2) Bağımsız ve Tarafsız Mahkemede Yargılanma Hakkı</w:t>
      </w:r>
    </w:p>
    <w:p w14:paraId="40C1EE73" w14:textId="45F8BC9E" w:rsidR="008076BD" w:rsidRPr="00852BA3" w:rsidRDefault="008076BD" w:rsidP="00D7125A">
      <w:pPr>
        <w:tabs>
          <w:tab w:val="left" w:pos="560"/>
          <w:tab w:val="left" w:pos="1120"/>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b/>
          <w:bCs/>
          <w:sz w:val="23"/>
          <w:szCs w:val="23"/>
          <w:lang w:eastAsia="tr-TR"/>
        </w:rPr>
      </w:pPr>
      <w:r w:rsidRPr="00852BA3">
        <w:rPr>
          <w:rFonts w:ascii="Arial Narrow" w:hAnsi="Arial Narrow" w:cs="Times New Roman"/>
          <w:sz w:val="23"/>
          <w:szCs w:val="23"/>
        </w:rPr>
        <w:t>2014 ve 2016 tarihinde çıkartılan 6524 ile 6723 sayılı Yasalarla üyeler de dâhil olmak üzere HSYK'da çalışan bütün hakim ve savcıların ve Yargıtay ve Danıştay üyelerinin görevleri sonlandırılmış; 2017’de yapılan Anayasa değişikliğiyle HSK’ya üye seçme yetkisi partili Cumhurbaşkanı ile Cumhurbaşkanının partisinin hakimiyetinde olan TBMM’ye verilmiştir. HSK’nın; İlk derece ve istinaf mahkemelerindeki her türlü atama, terfi ve yetkilendirmeleri yapma ve Yargıtay üyelerinin tamamı ile Danıştay üyelerinin ¾’ünü seçme yetkisine sahip olduğu düşünüldüğünde, yargıdaki her türlü atama, tayin ve yetkilendirmenin, yasama ve yürütmeye karşı hiçbir bağımsızlık teminatı olmayan HSK tarafından gerçekleştirildiği görülecektir. Yani, yapılan değişiklikler sonrası yargı sistemi, yasama ve yürütmenin isteği doğrultusunda tekrar şekillendirilmiştir.</w:t>
      </w:r>
      <w:r w:rsidRPr="00852BA3">
        <w:rPr>
          <w:rStyle w:val="DipnotBavurusu"/>
          <w:sz w:val="23"/>
          <w:szCs w:val="23"/>
        </w:rPr>
        <w:footnoteReference w:id="1"/>
      </w:r>
      <w:r w:rsidRPr="00852BA3">
        <w:rPr>
          <w:rFonts w:ascii="Arial Narrow" w:hAnsi="Arial Narrow" w:cs="Times New Roman"/>
          <w:sz w:val="23"/>
          <w:szCs w:val="23"/>
        </w:rPr>
        <w:t xml:space="preserve"> Ayrıca, 667 sayılı KHK'nın 3. maddesi ile HSYK'ya hakimlerin azledilemezliği ilkesine aykırı şekilde yargı mensuplarını görevden alma yetkisi verilmiş ve binlerce yargı mensubu bu kapsamda ihraç edilmiştir. Yasal değişiklikler ve uygulamaları nedeniyle HSYK, ilk derece ve istinaf mahkemeleri ile Yargıtay tarafsızlık ve bağımsızlıklarını kaybetmiştir. Son olarak, yürütmenin talebiyle uyumlu karar vermeyen ve bu bağlamda hukukun gereği olsa dahi </w:t>
      </w:r>
      <w:r w:rsidR="00281BB0" w:rsidRPr="00852BA3">
        <w:rPr>
          <w:rFonts w:ascii="Arial Narrow" w:hAnsi="Arial Narrow" w:cs="Times New Roman"/>
          <w:sz w:val="23"/>
          <w:szCs w:val="23"/>
        </w:rPr>
        <w:t>cemaat mensubiyeti</w:t>
      </w:r>
      <w:r w:rsidRPr="00852BA3">
        <w:rPr>
          <w:rFonts w:ascii="Arial Narrow" w:hAnsi="Arial Narrow" w:cs="Times New Roman"/>
          <w:sz w:val="23"/>
          <w:szCs w:val="23"/>
        </w:rPr>
        <w:t xml:space="preserve"> isnadıyla suçlanan bir kişi lehine  karar alan yargı mensupları soruşturmalara maruz bırakılmış, görev yerleri değiştirilmiş ve meslekten ihraç gibi yaptırımlara maruz kalmışlardır. Human Rights Defenders tarafından hazırlanan “Ceza Yargılamalarında Görev Yapan Birinci, İkinci ve Üçüncü Derece Mahkemelerin “Kanunla Önceden Kurulmuş, Bağımsız ve Tarafsızlık” Niteliklerinden Yoksun Oluşuna Dair Somut Olay ve Olgulara Dayalı Rapor”da</w:t>
      </w:r>
      <w:r w:rsidRPr="00852BA3">
        <w:rPr>
          <w:rStyle w:val="DipnotBavurusu"/>
          <w:rFonts w:ascii="Arial Narrow" w:hAnsi="Arial Narrow"/>
          <w:sz w:val="23"/>
          <w:szCs w:val="23"/>
        </w:rPr>
        <w:footnoteReference w:id="2"/>
      </w:r>
      <w:r w:rsidRPr="00852BA3">
        <w:rPr>
          <w:rFonts w:ascii="Arial Narrow" w:hAnsi="Arial Narrow" w:cs="Times New Roman"/>
          <w:sz w:val="23"/>
          <w:szCs w:val="23"/>
        </w:rPr>
        <w:t xml:space="preserve">, mahkemelerin bağımsızlık ve tarafsızlık özelliğini kaybettiği yaşanmış örneklerden hareketle açıklanmaktadır.  </w:t>
      </w:r>
    </w:p>
    <w:p w14:paraId="6AE581A6" w14:textId="77777777" w:rsidR="008076BD" w:rsidRPr="00852BA3" w:rsidRDefault="008076BD"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3"/>
          <w:szCs w:val="23"/>
          <w:lang w:eastAsia="tr-TR"/>
        </w:rPr>
      </w:pPr>
      <w:r w:rsidRPr="00852BA3">
        <w:rPr>
          <w:rFonts w:ascii="Arial Narrow" w:hAnsi="Arial Narrow" w:cs="Times New Roman"/>
          <w:sz w:val="23"/>
          <w:szCs w:val="23"/>
        </w:rPr>
        <w:t>Başvuruya konu olayda da, yargılama yapan hakimler dış baskılara karşı güvencelere sahip olmadıkları gibi mevzuata açıkça aykırı ve ön yargılı verdikleri kararlarıyla bağımsız görüntü sergileyememişlerdir ve bu suretle, tarafsız ve bağımsız hareket edemeyeceklerini göstermişlerdir.</w:t>
      </w:r>
    </w:p>
    <w:p w14:paraId="1BAB6A7E" w14:textId="77777777" w:rsidR="00281BB0" w:rsidRPr="00852BA3" w:rsidRDefault="00663351"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3"/>
          <w:szCs w:val="23"/>
          <w:lang w:eastAsia="tr-TR"/>
        </w:rPr>
      </w:pPr>
      <w:r w:rsidRPr="00852BA3">
        <w:rPr>
          <w:rFonts w:ascii="Arial Narrow" w:eastAsia="Times New Roman" w:hAnsi="Arial Narrow" w:cs="Times New Roman"/>
          <w:b/>
          <w:bCs/>
          <w:sz w:val="23"/>
          <w:szCs w:val="23"/>
          <w:lang w:eastAsia="tr-TR"/>
        </w:rPr>
        <w:t xml:space="preserve">3) </w:t>
      </w:r>
      <w:r w:rsidR="00281BB0" w:rsidRPr="00852BA3">
        <w:rPr>
          <w:rFonts w:ascii="Arial Narrow" w:eastAsia="Times New Roman" w:hAnsi="Arial Narrow" w:cs="Times New Roman"/>
          <w:b/>
          <w:bCs/>
          <w:sz w:val="23"/>
          <w:szCs w:val="23"/>
          <w:lang w:eastAsia="tr-TR"/>
        </w:rPr>
        <w:t>Ankesörlü Telefonlardan (Sabit Hat) Aranma</w:t>
      </w:r>
    </w:p>
    <w:p w14:paraId="1A212809"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bCs/>
          <w:sz w:val="23"/>
          <w:szCs w:val="23"/>
          <w:lang w:eastAsia="tr-TR"/>
        </w:rPr>
      </w:pPr>
      <w:r w:rsidRPr="00852BA3">
        <w:rPr>
          <w:rFonts w:ascii="Arial Narrow" w:eastAsia="Times New Roman" w:hAnsi="Arial Narrow" w:cs="Times New Roman"/>
          <w:bCs/>
          <w:sz w:val="23"/>
          <w:szCs w:val="23"/>
          <w:lang w:eastAsia="tr-TR"/>
        </w:rPr>
        <w:t xml:space="preserve">Hakkımda ankesörlü telefonlardan arandığım iddiasıyla soruşturma açılmış olup bu iddiaya dayanarak mahkum edildim. </w:t>
      </w:r>
    </w:p>
    <w:p w14:paraId="0509A6F5"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eastAsia="Times New Roman" w:hAnsi="Arial Narrow" w:cs="Times New Roman"/>
          <w:bCs/>
          <w:sz w:val="23"/>
          <w:szCs w:val="23"/>
          <w:lang w:eastAsia="tr-TR"/>
        </w:rPr>
        <w:t xml:space="preserve">Öncelikle, </w:t>
      </w:r>
      <w:r w:rsidRPr="00852BA3">
        <w:rPr>
          <w:rFonts w:ascii="Arial Narrow" w:hAnsi="Arial Narrow" w:cs="Times New Roman"/>
          <w:sz w:val="23"/>
          <w:szCs w:val="23"/>
        </w:rPr>
        <w:t xml:space="preserve">ankesörlü telefon görüşmelerine ilişkin HTS kayıtlarının delil niteliğinin CMK’nın </w:t>
      </w:r>
      <w:r w:rsidRPr="00852BA3">
        <w:rPr>
          <w:rFonts w:ascii="Arial Narrow" w:hAnsi="Arial Narrow" w:cs="Times New Roman"/>
          <w:i/>
          <w:sz w:val="23"/>
          <w:szCs w:val="23"/>
        </w:rPr>
        <w:t>“İletişimin tespiti, dinlenmesi ve kayda alınması”</w:t>
      </w:r>
      <w:r w:rsidRPr="00852BA3">
        <w:rPr>
          <w:rFonts w:ascii="Arial Narrow" w:hAnsi="Arial Narrow" w:cs="Times New Roman"/>
          <w:sz w:val="23"/>
          <w:szCs w:val="23"/>
        </w:rPr>
        <w:t xml:space="preserve"> başlıklı 135. maddesi kapsamında değerlendirilmesi gerekmektedir. CMK’nın 135/1. maddesi gereğince iletişimin tespiti kararı verilebilmesi için; bir suç soruşturması veya kovuşturmasında, suç işlendiğine ilişkin somut delillere dayanan kuvvetli şüphe sebeplerinin varlığı ve başka suretle delil elde etme imkânının bulunmaması </w:t>
      </w:r>
      <w:r w:rsidRPr="00852BA3">
        <w:rPr>
          <w:rFonts w:ascii="Arial Narrow" w:hAnsi="Arial Narrow" w:cs="Times New Roman"/>
          <w:sz w:val="23"/>
          <w:szCs w:val="23"/>
        </w:rPr>
        <w:lastRenderedPageBreak/>
        <w:t>aranmaktadır. Yani tedbir kararı verebilmesi, maddede yazılı şartların tümünün birden aynı anda gerçekleşmesine bağlıdır.</w:t>
      </w:r>
      <w:r w:rsidRPr="00852BA3">
        <w:rPr>
          <w:rStyle w:val="DipnotBavurusu"/>
          <w:rFonts w:ascii="Arial Narrow" w:hAnsi="Arial Narrow"/>
          <w:sz w:val="23"/>
          <w:szCs w:val="23"/>
        </w:rPr>
        <w:footnoteReference w:id="3"/>
      </w:r>
    </w:p>
    <w:p w14:paraId="5E56B5A1"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i/>
          <w:sz w:val="23"/>
          <w:szCs w:val="23"/>
          <w:lang w:eastAsia="tr-TR"/>
        </w:rPr>
      </w:pPr>
      <w:r w:rsidRPr="00852BA3">
        <w:rPr>
          <w:rFonts w:ascii="Arial Narrow" w:hAnsi="Arial Narrow" w:cs="Times New Roman"/>
          <w:b/>
          <w:i/>
          <w:sz w:val="23"/>
          <w:szCs w:val="23"/>
        </w:rPr>
        <w:t>a. Usulüne Uygun Olarak Başlatılan Bir Soruşturmanın Mevcudiyeti</w:t>
      </w:r>
    </w:p>
    <w:p w14:paraId="3F82DD45"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Bu tedbirin uygulanmasının ön şartı, usulüne uygun olarak başlatılmış bir soruşturmanın varlığıdır ve hedef kişi, bu soruşturmanın </w:t>
      </w:r>
      <w:r w:rsidRPr="00852BA3">
        <w:rPr>
          <w:rFonts w:ascii="Arial Narrow" w:hAnsi="Arial Narrow" w:cs="Times New Roman"/>
          <w:i/>
          <w:sz w:val="23"/>
          <w:szCs w:val="23"/>
        </w:rPr>
        <w:t>“şüphelisi”</w:t>
      </w:r>
      <w:r w:rsidRPr="00852BA3">
        <w:rPr>
          <w:rFonts w:ascii="Arial Narrow" w:hAnsi="Arial Narrow" w:cs="Times New Roman"/>
          <w:sz w:val="23"/>
          <w:szCs w:val="23"/>
        </w:rPr>
        <w:t xml:space="preserve"> veya kovuşturmanın </w:t>
      </w:r>
      <w:r w:rsidRPr="00852BA3">
        <w:rPr>
          <w:rFonts w:ascii="Arial Narrow" w:hAnsi="Arial Narrow" w:cs="Times New Roman"/>
          <w:i/>
          <w:sz w:val="23"/>
          <w:szCs w:val="23"/>
        </w:rPr>
        <w:t>“sanığı”</w:t>
      </w:r>
      <w:r w:rsidRPr="00852BA3">
        <w:rPr>
          <w:rFonts w:ascii="Arial Narrow" w:hAnsi="Arial Narrow" w:cs="Times New Roman"/>
          <w:sz w:val="23"/>
          <w:szCs w:val="23"/>
        </w:rPr>
        <w:t xml:space="preserve"> olmalıdır. </w:t>
      </w:r>
      <w:r w:rsidRPr="00852BA3">
        <w:rPr>
          <w:rFonts w:ascii="Arial Narrow" w:hAnsi="Arial Narrow" w:cs="Times New Roman"/>
          <w:b/>
          <w:sz w:val="23"/>
          <w:szCs w:val="23"/>
        </w:rPr>
        <w:t>Şüpheli bilinmiyorsa tedbir kararı verilemez ve uygulanamaz.</w:t>
      </w:r>
      <w:r w:rsidRPr="00852BA3">
        <w:rPr>
          <w:rFonts w:ascii="Arial Narrow" w:hAnsi="Arial Narrow" w:cs="Times New Roman"/>
          <w:sz w:val="23"/>
          <w:szCs w:val="23"/>
        </w:rPr>
        <w:t xml:space="preserve"> Oysaki ankesörlü hattan aranma dosyalarında bu kurala uyulmamıştır. Hakkında her hangi bir soruşturma bulunmayan kişiler hakkında (sabit telefonun adına kayıtlı olduğu kişi, büfe sahibi) iletişimin tespiti kararı verilmiş; bundan hareketle, ilgili kişilere ait HTS kayıtları temin edilmiş ve elde edilen kayıtlar üzerinde çalışma/analiz yapıldıktan sonra bu hattan aranan kişilerden sadece bir kısmı şüpheli yapılmıştır. İzlenen bu usul, yani, şüpheli sıfatı olmayan belirsiz sayıdaki kişiye, bir bölgeye veya belirli bir meslek grubuna yönelik olarak bu tedbirin uygulanması CMK’nın 135. maddesine aykırıdır.</w:t>
      </w:r>
    </w:p>
    <w:p w14:paraId="1A6F7C9B"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Ankesörlü/kontörlü hatlardan gerçekleştirilen aramaların </w:t>
      </w:r>
      <w:r w:rsidRPr="00852BA3">
        <w:rPr>
          <w:rFonts w:ascii="Arial Narrow" w:hAnsi="Arial Narrow" w:cs="Times New Roman"/>
          <w:i/>
          <w:sz w:val="23"/>
          <w:szCs w:val="23"/>
        </w:rPr>
        <w:t>“mahrem imam”</w:t>
      </w:r>
      <w:r w:rsidRPr="00852BA3">
        <w:rPr>
          <w:rFonts w:ascii="Arial Narrow" w:hAnsi="Arial Narrow" w:cs="Times New Roman"/>
          <w:sz w:val="23"/>
          <w:szCs w:val="23"/>
        </w:rPr>
        <w:t xml:space="preserve"> olarak tabir edilen kişiler tarafından yapıldığı belirtilmekte olup soruşturmanın başlangıç noktası bu kişiler tarafından aranma iddiası olduğuna göre öncelikle bu kişilerin dosya kapsamında şüpheli olmaları gerekirdi. Ancak, böyle bir iddiayla başlatılacak soruşturma, öncelikle bu kişilerin kim olduklarının bilinmesini gerektirmekteydi.</w:t>
      </w:r>
    </w:p>
    <w:p w14:paraId="420C064C" w14:textId="77777777" w:rsidR="00281BB0" w:rsidRPr="00852BA3" w:rsidRDefault="00281BB0" w:rsidP="00D7125A">
      <w:pPr>
        <w:tabs>
          <w:tab w:val="left" w:pos="284"/>
          <w:tab w:val="left" w:pos="567"/>
          <w:tab w:val="left" w:pos="851"/>
          <w:tab w:val="left" w:pos="1134"/>
          <w:tab w:val="left" w:pos="1418"/>
        </w:tabs>
        <w:spacing w:after="120"/>
        <w:jc w:val="both"/>
        <w:rPr>
          <w:rFonts w:ascii="Arial Narrow" w:hAnsi="Arial Narrow" w:cs="Times New Roman"/>
          <w:sz w:val="23"/>
          <w:szCs w:val="23"/>
        </w:rPr>
      </w:pPr>
      <w:r w:rsidRPr="00852BA3">
        <w:rPr>
          <w:rFonts w:ascii="Arial Narrow" w:hAnsi="Arial Narrow" w:cs="Times New Roman"/>
          <w:sz w:val="23"/>
          <w:szCs w:val="23"/>
        </w:rPr>
        <w:t>CMK’nın 138/2 maddesi gereğince, geçerli bir iletişimin denetlenmesi sırasında hakkında soruşturma veya kovuşturma bulunmayan kişilerle ilgili delil elde edilirse durum savcılığa bildirilecek; savcılık yapacağı değerlendirme neticesinde elde edilen delilleri soruşturma açmaya yeterli görürse ilgililer hakkında soruşturma açılacak ve o kişilerle ilgili yeni bir tedbir kararı alınacaktır.</w:t>
      </w:r>
      <w:r w:rsidRPr="00852BA3">
        <w:rPr>
          <w:rFonts w:ascii="Arial Narrow" w:hAnsi="Arial Narrow" w:cs="Times New Roman"/>
          <w:sz w:val="23"/>
          <w:szCs w:val="23"/>
          <w:vertAlign w:val="superscript"/>
        </w:rPr>
        <w:t xml:space="preserve"> </w:t>
      </w:r>
      <w:r w:rsidRPr="00852BA3">
        <w:rPr>
          <w:rFonts w:ascii="Arial Narrow" w:hAnsi="Arial Narrow" w:cs="Times New Roman"/>
          <w:sz w:val="23"/>
          <w:szCs w:val="23"/>
        </w:rPr>
        <w:t>Sabit hattan aranma dosyalarında böyle bir durum da yoktur. Hakkımda yürütülmekte olan herhangi bir soruşturma ve bu soruşturma kapsamında verilmiş bir tedbir kararı bulunmamaktaydı.</w:t>
      </w:r>
      <w:r w:rsidRPr="00852BA3">
        <w:rPr>
          <w:rStyle w:val="DipnotBavurusu"/>
          <w:rFonts w:ascii="Arial Narrow" w:hAnsi="Arial Narrow"/>
          <w:sz w:val="23"/>
          <w:szCs w:val="23"/>
        </w:rPr>
        <w:footnoteReference w:id="4"/>
      </w:r>
      <w:r w:rsidRPr="00852BA3">
        <w:rPr>
          <w:rFonts w:ascii="Arial Narrow" w:hAnsi="Arial Narrow" w:cs="Times New Roman"/>
          <w:sz w:val="23"/>
          <w:szCs w:val="23"/>
        </w:rPr>
        <w:t xml:space="preserve"> Yani, HTS kayıtları CMK’nın 138/2 maddesine göre değil, şartları oluşmamasına rağmen CMK’nın 135/6. maddesine göre elde edilmiştir.</w:t>
      </w:r>
    </w:p>
    <w:p w14:paraId="625A7018" w14:textId="77777777" w:rsidR="00281BB0" w:rsidRPr="00852BA3" w:rsidRDefault="00281BB0" w:rsidP="00D7125A">
      <w:pPr>
        <w:keepNext/>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b. Suç İşlendiğine İlişkin Somut Delillere Dayalı Kuvvetli Şüphe Sebeplerinin Varlığı</w:t>
      </w:r>
    </w:p>
    <w:p w14:paraId="428B246E"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CMK’nın 135/1. maddesi gereğince iletişimin tespitine karar verilebilmesi için suç işlendiğine ilişkin “</w:t>
      </w:r>
      <w:r w:rsidRPr="00852BA3">
        <w:rPr>
          <w:rFonts w:ascii="Arial Narrow" w:hAnsi="Arial Narrow" w:cs="Times New Roman"/>
          <w:i/>
          <w:sz w:val="23"/>
          <w:szCs w:val="23"/>
        </w:rPr>
        <w:t>kuvvetli şüphe”</w:t>
      </w:r>
      <w:r w:rsidRPr="00852BA3">
        <w:rPr>
          <w:rFonts w:ascii="Arial Narrow" w:hAnsi="Arial Narrow" w:cs="Times New Roman"/>
          <w:sz w:val="23"/>
          <w:szCs w:val="23"/>
        </w:rPr>
        <w:t xml:space="preserve"> sebeplerinin bulunması ve bunların </w:t>
      </w:r>
      <w:r w:rsidRPr="00852BA3">
        <w:rPr>
          <w:rFonts w:ascii="Arial Narrow" w:hAnsi="Arial Narrow" w:cs="Times New Roman"/>
          <w:i/>
          <w:sz w:val="23"/>
          <w:szCs w:val="23"/>
        </w:rPr>
        <w:t>“somut delillere dayanması”</w:t>
      </w:r>
      <w:r w:rsidRPr="00852BA3">
        <w:rPr>
          <w:rFonts w:ascii="Arial Narrow" w:hAnsi="Arial Narrow" w:cs="Times New Roman"/>
          <w:sz w:val="23"/>
          <w:szCs w:val="23"/>
        </w:rPr>
        <w:t xml:space="preserve"> gerekir. Dolayısıyla, iletişimin tespitine karar verecek hakimliğin kuvvetli şüphe sebeplerini oluşturan delillerin neler olduğunu gösterme yükümlülüğü vardır.</w:t>
      </w:r>
    </w:p>
    <w:p w14:paraId="6F017663"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Yargıtay içtihatları gereğince iletişimin tespiti kayıtları şüphelinin kiminle, ne zaman, nerede iletişim kurduğunu gösteren ve tespite konu görüşme içerikleri belli olmayan kayıtlardır.</w:t>
      </w:r>
      <w:r w:rsidRPr="00852BA3">
        <w:rPr>
          <w:rFonts w:ascii="Arial Narrow" w:hAnsi="Arial Narrow" w:cs="Times New Roman"/>
          <w:sz w:val="23"/>
          <w:szCs w:val="23"/>
          <w:vertAlign w:val="superscript"/>
        </w:rPr>
        <w:footnoteReference w:id="5"/>
      </w:r>
      <w:r w:rsidRPr="00852BA3">
        <w:rPr>
          <w:rFonts w:ascii="Arial Narrow" w:hAnsi="Arial Narrow" w:cs="Times New Roman"/>
          <w:sz w:val="23"/>
          <w:szCs w:val="23"/>
        </w:rPr>
        <w:t xml:space="preserve"> İçeriği belli olmayan bu kayıtlar basit şüphe oluşturan yardımcı delil niteliğinde olup kamu davası açılması için aranan yeterli şüphe ve mahkûmiyet için aranan kesin delil niteliğinde değildir.</w:t>
      </w:r>
      <w:r w:rsidRPr="00852BA3">
        <w:rPr>
          <w:rFonts w:ascii="Arial Narrow" w:hAnsi="Arial Narrow" w:cs="Times New Roman"/>
          <w:sz w:val="23"/>
          <w:szCs w:val="23"/>
          <w:vertAlign w:val="superscript"/>
        </w:rPr>
        <w:footnoteReference w:id="6"/>
      </w:r>
      <w:r w:rsidRPr="00852BA3">
        <w:rPr>
          <w:rFonts w:ascii="Arial Narrow" w:hAnsi="Arial Narrow" w:cs="Times New Roman"/>
          <w:sz w:val="23"/>
          <w:szCs w:val="23"/>
        </w:rPr>
        <w:t xml:space="preserve"> Bu nedenle, bu kayıtlar mutlaka somut delillerle desteklenmelidir ve aleyhinde HTS kayıtlarından başka delil bulunmayan kişi </w:t>
      </w:r>
      <w:r w:rsidRPr="00852BA3">
        <w:rPr>
          <w:rFonts w:ascii="Arial Narrow" w:hAnsi="Arial Narrow" w:cs="Times New Roman"/>
          <w:i/>
          <w:sz w:val="23"/>
          <w:szCs w:val="23"/>
        </w:rPr>
        <w:t>“şüpheden sanık yararlanır”</w:t>
      </w:r>
      <w:r w:rsidRPr="00852BA3">
        <w:rPr>
          <w:rFonts w:ascii="Arial Narrow" w:hAnsi="Arial Narrow" w:cs="Times New Roman"/>
          <w:sz w:val="23"/>
          <w:szCs w:val="23"/>
        </w:rPr>
        <w:t xml:space="preserve"> ilkesinin koruması altındadır.</w:t>
      </w:r>
      <w:r w:rsidRPr="00852BA3">
        <w:rPr>
          <w:rFonts w:ascii="Arial Narrow" w:hAnsi="Arial Narrow" w:cs="Times New Roman"/>
          <w:sz w:val="23"/>
          <w:szCs w:val="23"/>
          <w:vertAlign w:val="superscript"/>
        </w:rPr>
        <w:footnoteReference w:id="7"/>
      </w:r>
    </w:p>
    <w:p w14:paraId="2627996B"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Ankesörlü telefon aramalarına ilişkin soruşturmada, hakkımda her hangi bir adli takibat bulunmamasına karşın, HTS kayıtlarım somut delillere dayalı şüphe sebepleri ortaya konulmadan elde edilmiş olup bir meslek grubuna mensup olmam nedeniyle bu tedbire muhatap oldum. Bu kapsamda tüm TSK mensupları ve emeklilerinin HTS kaydı incelenmiş, kayıtlar üzerinde çeşitli analizler yapıldıktan sonra bu kişilerden sadece bir kısmı şüpheli yapılmıştır. Yani, CMK’daki şartlar oluşmadan temin edilen HTS kayıtları üzerinde yapılan analizlere dayanılarak hakkımda suç </w:t>
      </w:r>
      <w:r w:rsidRPr="00852BA3">
        <w:rPr>
          <w:rFonts w:ascii="Arial Narrow" w:hAnsi="Arial Narrow" w:cs="Times New Roman"/>
          <w:sz w:val="23"/>
          <w:szCs w:val="23"/>
        </w:rPr>
        <w:lastRenderedPageBreak/>
        <w:t>isnadında bulunulmuştur. Oysaki CMK’ya göre suç şüphesi en başından, yani tedbir kararı verilmeden ve HTS kayıtları temin edilmeden önce var olmalıdır.</w:t>
      </w:r>
      <w:r w:rsidRPr="00852BA3">
        <w:rPr>
          <w:rFonts w:ascii="Arial Narrow" w:hAnsi="Arial Narrow" w:cs="Times New Roman"/>
          <w:sz w:val="23"/>
          <w:szCs w:val="23"/>
          <w:vertAlign w:val="superscript"/>
        </w:rPr>
        <w:footnoteReference w:id="8"/>
      </w:r>
    </w:p>
    <w:p w14:paraId="5835759C"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c. Başka Surette Delil Elde Etme İmkânının Olup Olmadığı</w:t>
      </w:r>
    </w:p>
    <w:p w14:paraId="15EDD66A"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Ceza Muhakemesi Kanununda Öngörülen Telekomünikasyon Yoluyla Yapılan İletişimin Denetlenmesi, Gizli Soruşturmacı ve Teknik Araçlarla İzleme Tedbirlerinin Uygulanmasına İlişkin Yönetmeliğin 4/1-c maddesi uyarınca, uygulanacak başka tedbirler vasıtasıyla maddi gerçeğin ortaya çıkarılması için delil elde etme imkânı varsa iletişimin tespiti şartının gerçekleştiğinden söz edilemez. Yani, iletişim tespiti tedbirine delil elde etme açısından </w:t>
      </w:r>
      <w:r w:rsidRPr="00852BA3">
        <w:rPr>
          <w:rFonts w:ascii="Arial Narrow" w:hAnsi="Arial Narrow" w:cs="Times New Roman"/>
          <w:i/>
          <w:sz w:val="23"/>
          <w:szCs w:val="23"/>
        </w:rPr>
        <w:t>"en son çare"</w:t>
      </w:r>
      <w:r w:rsidRPr="00852BA3">
        <w:rPr>
          <w:rFonts w:ascii="Arial Narrow" w:hAnsi="Arial Narrow" w:cs="Times New Roman"/>
          <w:sz w:val="23"/>
          <w:szCs w:val="23"/>
        </w:rPr>
        <w:t xml:space="preserve"> olarak başvurulmalıdır. Dosyada olayı aydınlatacak yeterli delil varken iletişimin tespitiyle elde edilecek delillerle iddianın güçlendirilmeye çalışılması 135. maddenin amacıyla bağdaşmaz.</w:t>
      </w:r>
    </w:p>
    <w:p w14:paraId="604753D5" w14:textId="77777777" w:rsidR="00281BB0" w:rsidRPr="00852BA3" w:rsidRDefault="00281BB0" w:rsidP="00D7125A">
      <w:pPr>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Yargıtay da konuyla ilgili bir kararında; iletişimin denetlenmesine karar verilmeden önce başka suretle delil elde edilemeyeceğine ilişkin soyut ifadeler dışında gerekçeye yer verilmeksizin ve bu hususta her bir sanık açısından bireyselleştirilmiş değerlendirme yapılmaksızın iletişimin tespitine karar verilemeyeceğini belirtmiştir.</w:t>
      </w:r>
      <w:r w:rsidRPr="00852BA3">
        <w:rPr>
          <w:rFonts w:ascii="Arial Narrow" w:hAnsi="Arial Narrow" w:cs="Times New Roman"/>
          <w:sz w:val="23"/>
          <w:szCs w:val="23"/>
          <w:vertAlign w:val="superscript"/>
        </w:rPr>
        <w:footnoteReference w:id="9"/>
      </w:r>
    </w:p>
    <w:p w14:paraId="2B67FC7B"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Ancak, ankesörlü telefon aramalarına ilişkin soruşturma ve kovuşturmalarda bu kurala da riayet edilmemiş; diğer koruma tedbirlerinden hiç biri değerlendirilmeden, doğrudan doğruya son çare delili olarak başvurulması gereken iletişimin tespiti tedbiri uygulanmıştır. </w:t>
      </w:r>
    </w:p>
    <w:p w14:paraId="4F4DB5F4" w14:textId="77777777" w:rsidR="00281BB0" w:rsidRPr="00852BA3" w:rsidRDefault="00281BB0" w:rsidP="00D7125A">
      <w:pPr>
        <w:keepNext/>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 xml:space="preserve">d. </w:t>
      </w:r>
      <w:r w:rsidRPr="00852BA3">
        <w:rPr>
          <w:rFonts w:ascii="Arial Narrow" w:eastAsia="Times New Roman" w:hAnsi="Arial Narrow" w:cs="Times New Roman"/>
          <w:b/>
          <w:bCs/>
          <w:i/>
          <w:sz w:val="23"/>
          <w:szCs w:val="23"/>
          <w:lang w:eastAsia="tr-TR"/>
        </w:rPr>
        <w:t>Yasal Saklama Süresi Geçmiş Haberleşme Bilgilerinin İmha Edilmemesi</w:t>
      </w:r>
    </w:p>
    <w:p w14:paraId="734A1F1D" w14:textId="77777777" w:rsidR="00281BB0" w:rsidRPr="00852BA3" w:rsidRDefault="00281BB0" w:rsidP="00D7125A">
      <w:pPr>
        <w:tabs>
          <w:tab w:val="left" w:pos="284"/>
          <w:tab w:val="left" w:pos="567"/>
          <w:tab w:val="left" w:pos="851"/>
          <w:tab w:val="left" w:pos="1134"/>
          <w:tab w:val="left" w:pos="1418"/>
        </w:tabs>
        <w:spacing w:after="120"/>
        <w:jc w:val="both"/>
        <w:rPr>
          <w:rFonts w:ascii="Arial Narrow" w:hAnsi="Arial Narrow" w:cs="Times New Roman"/>
          <w:iCs/>
          <w:sz w:val="23"/>
          <w:szCs w:val="23"/>
        </w:rPr>
      </w:pPr>
      <w:r w:rsidRPr="00852BA3">
        <w:rPr>
          <w:rFonts w:ascii="Arial Narrow" w:hAnsi="Arial Narrow" w:cs="Times New Roman"/>
          <w:iCs/>
          <w:sz w:val="23"/>
          <w:szCs w:val="23"/>
        </w:rPr>
        <w:t xml:space="preserve">CMK’nın 135/6 maddesinde HTS kayıtlarının istenmesine ve imhasına ilişkin bir süre öngörülmese de, özel kanun niteliğindeki </w:t>
      </w:r>
      <w:r w:rsidRPr="00852BA3">
        <w:rPr>
          <w:rFonts w:ascii="Arial Narrow" w:hAnsi="Arial Narrow" w:cs="Times New Roman"/>
          <w:color w:val="222222"/>
          <w:sz w:val="23"/>
          <w:szCs w:val="23"/>
          <w:shd w:val="clear" w:color="auto" w:fill="FFFFFF"/>
        </w:rPr>
        <w:t>5809 sayılı Elektronik Haberleşme Kanunu’nun 51/10. maddesinde; kişisel veri niteliğindeki</w:t>
      </w:r>
      <w:r w:rsidRPr="00852BA3">
        <w:rPr>
          <w:rFonts w:ascii="Arial Narrow" w:hAnsi="Arial Narrow" w:cs="Times New Roman"/>
          <w:b/>
          <w:color w:val="222222"/>
          <w:sz w:val="23"/>
          <w:szCs w:val="23"/>
          <w:shd w:val="clear" w:color="auto" w:fill="FFFFFF"/>
        </w:rPr>
        <w:t xml:space="preserve"> </w:t>
      </w:r>
      <w:r w:rsidRPr="00852BA3">
        <w:rPr>
          <w:rFonts w:ascii="Arial Narrow" w:hAnsi="Arial Narrow" w:cs="Times New Roman"/>
          <w:sz w:val="23"/>
          <w:szCs w:val="23"/>
        </w:rPr>
        <w:t xml:space="preserve">haberleşme kayıtlarının, haberleşmenin yapıldığı tarihten itibaren bir yıldan az ve iki yıldan fazla olmamak üzere saklanacağı ve saklanma sürelerinin yönetmelikle belirleneceği belirtilmiştir. Bu Kanuna dayanılarak çıkarılan Elektronik Haberleşme Sektöründe Kişisel Verilerin İşlenmesi ve Gizliliğinin Korunması Hakkında Yönetmeliğin 14/1 ve Elektronik Haberleşme Sektörüne İlişkin Yetkilendirme Yönetmeliği’nin 19/1-f maddeleri uyarınca da GSM şirketleri bu bilgileri en fazla bir yıl, gerçekleşmeyen (0 saniye) aramalara ilişkin kayıtları ise üç ay süreyle saklayabilir. </w:t>
      </w:r>
      <w:r w:rsidRPr="00852BA3">
        <w:rPr>
          <w:rFonts w:ascii="Arial Narrow" w:hAnsi="Arial Narrow" w:cs="Times New Roman"/>
          <w:iCs/>
          <w:sz w:val="23"/>
          <w:szCs w:val="23"/>
        </w:rPr>
        <w:t>Bu sürelerden daha fazla bu bilgilerin saklanması özel hayatın gizliliğinin ihlaline neden olur ve bu verileri hukuka aykırı hale getirir.</w:t>
      </w:r>
      <w:r w:rsidRPr="00852BA3">
        <w:rPr>
          <w:rStyle w:val="DipnotBavurusu"/>
          <w:rFonts w:ascii="Arial Narrow" w:hAnsi="Arial Narrow"/>
          <w:iCs/>
          <w:sz w:val="23"/>
          <w:szCs w:val="23"/>
        </w:rPr>
        <w:footnoteReference w:id="10"/>
      </w:r>
      <w:r w:rsidRPr="00852BA3">
        <w:rPr>
          <w:rFonts w:ascii="Arial Narrow" w:hAnsi="Arial Narrow" w:cs="Times New Roman"/>
          <w:iCs/>
          <w:sz w:val="23"/>
          <w:szCs w:val="23"/>
        </w:rPr>
        <w:t xml:space="preserve"> </w:t>
      </w:r>
    </w:p>
    <w:p w14:paraId="7D9894B1" w14:textId="77777777" w:rsidR="00281BB0" w:rsidRPr="00852BA3" w:rsidRDefault="00281BB0" w:rsidP="00D7125A">
      <w:pPr>
        <w:tabs>
          <w:tab w:val="left" w:pos="284"/>
          <w:tab w:val="left" w:pos="567"/>
          <w:tab w:val="left" w:pos="851"/>
          <w:tab w:val="left" w:pos="1134"/>
          <w:tab w:val="left" w:pos="1418"/>
        </w:tabs>
        <w:spacing w:after="120"/>
        <w:jc w:val="both"/>
        <w:rPr>
          <w:rFonts w:ascii="Arial Narrow" w:hAnsi="Arial Narrow" w:cs="Times New Roman"/>
          <w:sz w:val="23"/>
          <w:szCs w:val="23"/>
        </w:rPr>
      </w:pPr>
      <w:r w:rsidRPr="00852BA3">
        <w:rPr>
          <w:rFonts w:ascii="Arial Narrow" w:hAnsi="Arial Narrow" w:cs="Times New Roman"/>
          <w:iCs/>
          <w:sz w:val="23"/>
          <w:szCs w:val="23"/>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852BA3">
        <w:rPr>
          <w:rFonts w:ascii="Arial Narrow" w:hAnsi="Arial Narrow" w:cs="Times New Roman"/>
          <w:i/>
          <w:iCs/>
          <w:sz w:val="23"/>
          <w:szCs w:val="23"/>
        </w:rPr>
        <w:t xml:space="preserve"> </w:t>
      </w:r>
      <w:r w:rsidRPr="00852BA3">
        <w:rPr>
          <w:rFonts w:ascii="Arial Narrow" w:hAnsi="Arial Narrow" w:cs="Times New Roman"/>
          <w:iCs/>
          <w:sz w:val="23"/>
          <w:szCs w:val="23"/>
        </w:rPr>
        <w:t>kabulü, verilmeyen bir yetkinin keyfi olarak erişim ve yer sağlayıcılar tarafından kullanılması anlamına gelir ki bu durum hukuka aykırıdır.</w:t>
      </w:r>
    </w:p>
    <w:p w14:paraId="618D3F90" w14:textId="77777777" w:rsidR="00281BB0" w:rsidRPr="00852BA3" w:rsidRDefault="00281BB0" w:rsidP="00D7125A">
      <w:pPr>
        <w:pStyle w:val="NormalWeb"/>
        <w:shd w:val="clear" w:color="auto" w:fill="FFFFFF"/>
        <w:spacing w:before="0" w:beforeAutospacing="0" w:after="120" w:afterAutospacing="0" w:line="276" w:lineRule="auto"/>
        <w:jc w:val="both"/>
        <w:rPr>
          <w:rFonts w:ascii="Arial Narrow" w:hAnsi="Arial Narrow"/>
          <w:color w:val="222222"/>
          <w:sz w:val="23"/>
          <w:szCs w:val="23"/>
        </w:rPr>
      </w:pPr>
      <w:r w:rsidRPr="00852BA3">
        <w:rPr>
          <w:rFonts w:ascii="Arial Narrow" w:hAnsi="Arial Narrow"/>
          <w:color w:val="222222"/>
          <w:sz w:val="23"/>
          <w:szCs w:val="23"/>
        </w:rPr>
        <w:t xml:space="preserve">Trafik bilgilerinin öngörülen süreden daha fazla saklanması halinde, verileri yok etmekle görevli kişilerin 5809 sayılı Kanun’un 63/3. maddesi yollaması ve TCK’nın 138. maddesi gereğince hapis cezasıyla cezalandırılacağı ve TCK’nın 139. maddesi gereğince de bu suçun soruşturma ve kovuşturulmasının şikayete bağlı olmadığı belirtilmiştir. Ayrıca, elde edilen trafik bilgileri Kanun’da ve Yönetmelik’te belirtilen sürede yok edilmediği için hukuka aykırı delildir ve Anayasa’nın 38/6 ve </w:t>
      </w:r>
      <w:r w:rsidRPr="00852BA3">
        <w:rPr>
          <w:rFonts w:ascii="Arial Narrow" w:hAnsi="Arial Narrow"/>
          <w:iCs/>
          <w:sz w:val="23"/>
          <w:szCs w:val="23"/>
        </w:rPr>
        <w:t>CMK’nın 148/4., 217/2. ve 230/1-b maddeleri gereğince yargılamada delil olarak kullanılabilmeleri mümkün değildir.</w:t>
      </w:r>
    </w:p>
    <w:p w14:paraId="02CC5B7F" w14:textId="77777777" w:rsidR="00281BB0" w:rsidRPr="00852BA3" w:rsidRDefault="00281BB0" w:rsidP="00D7125A">
      <w:pPr>
        <w:pStyle w:val="NormalWeb"/>
        <w:shd w:val="clear" w:color="auto" w:fill="FFFFFF"/>
        <w:spacing w:before="0" w:beforeAutospacing="0" w:after="120" w:afterAutospacing="0" w:line="276" w:lineRule="auto"/>
        <w:jc w:val="both"/>
        <w:rPr>
          <w:rFonts w:ascii="Arial Narrow" w:hAnsi="Arial Narrow"/>
          <w:sz w:val="23"/>
          <w:szCs w:val="23"/>
        </w:rPr>
      </w:pPr>
      <w:r w:rsidRPr="00852BA3">
        <w:rPr>
          <w:rFonts w:ascii="Arial Narrow" w:hAnsi="Arial Narrow"/>
          <w:sz w:val="23"/>
          <w:szCs w:val="23"/>
        </w:rPr>
        <w:t xml:space="preserve">Mevzuattaki bu açık hükümlere rağmen; 5809 sayılı Yasada BTK’ya verilmiş bir yetki olmamasına rağmen, BTK’nın kişisel veri niteliğinde olan ve yasal süresi geçmiş internet trafik kayıtlarını fiilen sakladığı anlaşılmaktadır. Bu kayıtlar yargılama makamlarına sunulmakta, bunu yapan kişi ve kurumlar hakkında hiçbir cezai takibat yapılmamakta, bu şekilde sunulan kayıtların hukuka aykırılık oluşturduğu mahkemeler tarafından göz ardı edilmekte, hukuka aykırı bu bilgiler yargılamalara esas alınmakta ve dosyalara konulmak suretiyle alenileştirilmektedir. Başka bir ifadeyle, bahse </w:t>
      </w:r>
      <w:r w:rsidRPr="00852BA3">
        <w:rPr>
          <w:rFonts w:ascii="Arial Narrow" w:hAnsi="Arial Narrow"/>
          <w:sz w:val="23"/>
          <w:szCs w:val="23"/>
        </w:rPr>
        <w:lastRenderedPageBreak/>
        <w:t>konu bilgiler ulusal hukuka aykırı şekilde saklanmış ve kullanılmıştır. </w:t>
      </w:r>
      <w:r w:rsidRPr="00852BA3">
        <w:rPr>
          <w:rFonts w:ascii="Arial Narrow" w:hAnsi="Arial Narrow"/>
          <w:bCs/>
          <w:sz w:val="23"/>
          <w:szCs w:val="23"/>
        </w:rPr>
        <w:t>İlgili hükümlere fiilen uyulmaması nedeniyle de mevzuatta yer alan teorik güvenceler işlevsiz hale gelmiştir.</w:t>
      </w:r>
    </w:p>
    <w:p w14:paraId="74DEC4FD"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d) Sonuç</w:t>
      </w:r>
    </w:p>
    <w:p w14:paraId="21382469"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CMK’nın 206/2-a maddesinde, kanuna aykırı elde edilen delilin yargılamalarda kullanılamayacağının ve CMK’nın 217/2. maddesinde de, yüklenen suçun hukuka uygun delillerle ispatlanabileceğinin belirtilmesi karşısında; iletişim tespit tutanaklarının delil olarak kabulü, CMK’nın 135. maddesine uygun olarak elde edilmelerine bağlıdır.</w:t>
      </w:r>
    </w:p>
    <w:p w14:paraId="01D99C5A"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Haberleşme hürriyeti anayasal bir hak olduğundan ve bu hakkın ihlali önemsiz kabul edilemeyeceğinden, hukuka aykırı yöntemlerle elde edilen ve Yönetmelik’te belirlenen sürede imha edilmeyen iletişimin tespiti kayıtları hükme esas alınamaz.</w:t>
      </w:r>
      <w:r w:rsidRPr="00852BA3">
        <w:rPr>
          <w:rFonts w:ascii="Arial Narrow" w:hAnsi="Arial Narrow" w:cs="Times New Roman"/>
          <w:sz w:val="23"/>
          <w:szCs w:val="23"/>
          <w:vertAlign w:val="superscript"/>
        </w:rPr>
        <w:footnoteReference w:id="11"/>
      </w:r>
      <w:r w:rsidRPr="00852BA3">
        <w:rPr>
          <w:rFonts w:ascii="Arial Narrow" w:hAnsi="Arial Narrow" w:cs="Times New Roman"/>
          <w:sz w:val="23"/>
          <w:szCs w:val="23"/>
        </w:rPr>
        <w:t xml:space="preserve"> Bu itibarla hem sabit hatta ilişkin arama kayıtları hem de HTS kayıtlarım hukuka uygun elde edilmemiştir.</w:t>
      </w:r>
    </w:p>
    <w:p w14:paraId="6008CFB4" w14:textId="52C9F4B4" w:rsidR="00004A14" w:rsidRPr="00852BA3" w:rsidRDefault="00004A14"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Ayrıca, suçun unsurlarının varlığı araştırılmadan ve ankesörden aranmış olmak suçun unsuru gibi kabul edilerek yapılan otomatik cezalandırmalar açıkça suç ve cezaların yasallığı ilkesine aykırıdır.</w:t>
      </w:r>
    </w:p>
    <w:p w14:paraId="144FD1C2"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3"/>
          <w:szCs w:val="23"/>
          <w:lang w:eastAsia="tr-TR"/>
        </w:rPr>
      </w:pPr>
      <w:r w:rsidRPr="00852BA3">
        <w:rPr>
          <w:rFonts w:ascii="Arial Narrow" w:eastAsia="Times New Roman" w:hAnsi="Arial Narrow" w:cs="Times New Roman"/>
          <w:b/>
          <w:bCs/>
          <w:sz w:val="23"/>
          <w:szCs w:val="23"/>
          <w:lang w:eastAsia="tr-TR"/>
        </w:rPr>
        <w:t>4) Bylock Bilgilerinin Yargılamada Kullanılması</w:t>
      </w:r>
    </w:p>
    <w:p w14:paraId="552EC7A2"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Arial" w:hAnsi="Arial Narrow" w:cs="Times New Roman"/>
          <w:sz w:val="23"/>
          <w:szCs w:val="23"/>
        </w:rPr>
      </w:pPr>
      <w:r w:rsidRPr="00852BA3">
        <w:rPr>
          <w:rFonts w:ascii="Arial Narrow" w:eastAsia="Arial" w:hAnsi="Arial Narrow" w:cs="Times New Roman"/>
          <w:sz w:val="23"/>
          <w:szCs w:val="23"/>
        </w:rPr>
        <w:t>Yargıtay 16. Ceza Dairesi</w:t>
      </w:r>
      <w:r w:rsidRPr="00852BA3">
        <w:rPr>
          <w:rStyle w:val="DipnotBavurusu"/>
          <w:rFonts w:ascii="Arial Narrow" w:eastAsia="Arial" w:hAnsi="Arial Narrow"/>
          <w:sz w:val="23"/>
          <w:szCs w:val="23"/>
        </w:rPr>
        <w:footnoteReference w:id="12"/>
      </w:r>
      <w:r w:rsidRPr="00852BA3">
        <w:rPr>
          <w:rFonts w:ascii="Arial Narrow" w:eastAsia="Arial" w:hAnsi="Arial Narrow" w:cs="Times New Roman"/>
          <w:sz w:val="23"/>
          <w:szCs w:val="23"/>
        </w:rPr>
        <w:t xml:space="preserve"> ve Yargıtay Ceza Genel Kurulu</w:t>
      </w:r>
      <w:r w:rsidRPr="00852BA3">
        <w:rPr>
          <w:rStyle w:val="DipnotBavurusu"/>
          <w:rFonts w:ascii="Arial Narrow" w:eastAsia="Arial" w:hAnsi="Arial Narrow"/>
          <w:sz w:val="23"/>
          <w:szCs w:val="23"/>
        </w:rPr>
        <w:footnoteReference w:id="13"/>
      </w:r>
      <w:r w:rsidRPr="00852BA3">
        <w:rPr>
          <w:rFonts w:ascii="Arial Narrow" w:eastAsia="Arial" w:hAnsi="Arial Narrow" w:cs="Times New Roman"/>
          <w:sz w:val="23"/>
          <w:szCs w:val="23"/>
        </w:rPr>
        <w:t xml:space="preserve"> Bylock’un CMK’nın 134. maddesine uygun olarak elde edildiğini kabul etmişler ve bu kabulden sonra yerel mahkemeler konuyla ilgili hiçbir araştırma yapmadan ve bu kararlara atıf yapmak suretiyle mahkûmiyet kararları vermişlerdir. Bununla birlikte bu kabuller, mevzuata ve Yargıtay’ın yerleşik içtihatlarıyla çelişmektedir.</w:t>
      </w:r>
    </w:p>
    <w:p w14:paraId="7EAD7F9E"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 xml:space="preserve">a. Sunucu Elde Edildiği Sırada Bylock İle İlgili Bir Soruşturma Var Mıdır? </w:t>
      </w:r>
    </w:p>
    <w:p w14:paraId="6105D492" w14:textId="77777777" w:rsidR="00281BB0" w:rsidRPr="00852BA3" w:rsidRDefault="00281BB0" w:rsidP="00D7125A">
      <w:pPr>
        <w:autoSpaceDE w:val="0"/>
        <w:autoSpaceDN w:val="0"/>
        <w:adjustRightInd w:val="0"/>
        <w:spacing w:after="120"/>
        <w:jc w:val="both"/>
        <w:textAlignment w:val="center"/>
        <w:rPr>
          <w:rFonts w:ascii="Arial Narrow" w:hAnsi="Arial Narrow" w:cs="Times New Roman"/>
          <w:sz w:val="23"/>
          <w:szCs w:val="23"/>
        </w:rPr>
      </w:pPr>
      <w:r w:rsidRPr="00852BA3">
        <w:rPr>
          <w:rFonts w:ascii="Arial Narrow" w:hAnsi="Arial Narrow" w:cs="Times New Roman"/>
          <w:sz w:val="23"/>
          <w:szCs w:val="23"/>
        </w:rPr>
        <w:t>Bilgisayar, bilgisayar programları ve kütükleri üzerinde CMK’nın 134. maddesinde yer verilen tedbirlere başvurulabilmesi için öncelikle usulüne uygun başlatılmış bir adli soruşturma bulunmalıdır.</w:t>
      </w:r>
    </w:p>
    <w:p w14:paraId="37B8CEC4" w14:textId="77777777" w:rsidR="00281BB0" w:rsidRPr="00852BA3" w:rsidRDefault="00281BB0" w:rsidP="00D7125A">
      <w:pPr>
        <w:autoSpaceDE w:val="0"/>
        <w:autoSpaceDN w:val="0"/>
        <w:adjustRightInd w:val="0"/>
        <w:spacing w:after="120"/>
        <w:jc w:val="both"/>
        <w:textAlignment w:val="center"/>
        <w:rPr>
          <w:rFonts w:ascii="Arial Narrow" w:hAnsi="Arial Narrow" w:cs="Times New Roman"/>
          <w:sz w:val="23"/>
          <w:szCs w:val="23"/>
        </w:rPr>
      </w:pPr>
      <w:r w:rsidRPr="00852BA3">
        <w:rPr>
          <w:rFonts w:ascii="Arial Narrow" w:hAnsi="Arial Narrow" w:cs="Times New Roman"/>
          <w:sz w:val="23"/>
          <w:szCs w:val="23"/>
        </w:rPr>
        <w:t>16. Ceza Dairesinin Bylock’la ilgili verdiği karara göre; içinde Bylock bilgilerinin bulunduğu dijital malzemelerin MİT tarafından teslimi üzerine Ankara Cumhuriyet Başsavcılığınca soruşturma başlatılmış (Soruşturma No. 2016/104109) ve 09/12/2016 tarihinde dijital malzemelerden kopya çıkarılması ve imaj alma işlemi için Ankara 4. Sulh Ceza Hakimliğinden talepte bulunulmuştur. Ancak, Bylock’un sonradan dâhil edildiği anılan soruşturmanın başlangıç tarihi 18/07/2016’dır. Bunun anlamı, Bylock’un MİT tarafından ele geçirilmesinden altı ay sonra başlatılmış bir soruşturmaya, bu soruşturmanın başlamasından beş ay sonra dâhil edildiği, yani soruşturma olmadan ele geçirilen Bylock bilgilerinin ele geçirilmelerinden aylar sonra başlatılan bir soruşturmaya dâhil edildiğidir. Bu suretle, CMK’da öngörülen soruşturma usulü tersine çevrilmiştir.</w:t>
      </w:r>
    </w:p>
    <w:p w14:paraId="47E0F3FE"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b. Sunucuda Arama Yapılabilmesi İçin Verilmiş Bir Hâkim Kararı Var Mıdır?</w:t>
      </w:r>
    </w:p>
    <w:p w14:paraId="1BFD395B"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Arial" w:hAnsi="Arial Narrow" w:cs="Times New Roman"/>
          <w:sz w:val="23"/>
          <w:szCs w:val="23"/>
        </w:rPr>
      </w:pPr>
      <w:r w:rsidRPr="00852BA3">
        <w:rPr>
          <w:rFonts w:ascii="Arial Narrow" w:hAnsi="Arial Narrow" w:cs="Times New Roman"/>
          <w:sz w:val="23"/>
          <w:szCs w:val="23"/>
        </w:rPr>
        <w:t>MİT’in hazırladığı Teknik Raporda bu konuda verilmiş bir karardan bahsedilmediği gibi, çalışmanın 2937 sayılı Kanun’un MİT’e verdiği yetkiye istinaden yapıldığı belirtilmiştir. Yine, konuyla ilgili Yargıtay kararlarında da, Bylock verilerinin MİT’in yaptığı istihbari çalışma sonucu elde edildiği belirtilerek bu konuda verilmiş bir karara atıf yapılmamıştır.</w:t>
      </w:r>
      <w:r w:rsidRPr="00852BA3">
        <w:rPr>
          <w:rStyle w:val="DipnotBavurusu"/>
          <w:rFonts w:ascii="Arial Narrow" w:hAnsi="Arial Narrow"/>
          <w:sz w:val="23"/>
          <w:szCs w:val="23"/>
        </w:rPr>
        <w:footnoteReference w:id="14"/>
      </w:r>
    </w:p>
    <w:p w14:paraId="5C8E28FB"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Ceza Genel Kurulu, Bylock ile ilgili 16. Ceza Dairesinin verdiği ilk kararın temyiz incelemesini yaptığı dosyada; </w:t>
      </w:r>
      <w:r w:rsidRPr="00852BA3">
        <w:rPr>
          <w:rFonts w:ascii="Arial Narrow" w:hAnsi="Arial Narrow" w:cs="Times New Roman"/>
          <w:i/>
          <w:iCs/>
          <w:sz w:val="23"/>
          <w:szCs w:val="23"/>
        </w:rPr>
        <w:t xml:space="preserve">“... MİT’in yasal yetkisi çerçevesinde temin ettiği Bylock veri tabanı üzerinde CMK’nın 134üncü maddesi gereğince </w:t>
      </w:r>
      <w:r w:rsidRPr="00852BA3">
        <w:rPr>
          <w:rFonts w:ascii="Arial Narrow" w:hAnsi="Arial Narrow" w:cs="Times New Roman"/>
          <w:b/>
          <w:i/>
          <w:iCs/>
          <w:sz w:val="23"/>
          <w:szCs w:val="23"/>
        </w:rPr>
        <w:t>geçmişe dönük olarak uygulanan arama tedbirinin</w:t>
      </w:r>
      <w:r w:rsidRPr="00852BA3">
        <w:rPr>
          <w:rFonts w:ascii="Arial Narrow" w:hAnsi="Arial Narrow" w:cs="Times New Roman"/>
          <w:i/>
          <w:iCs/>
          <w:sz w:val="23"/>
          <w:szCs w:val="23"/>
        </w:rPr>
        <w:t xml:space="preserve">; “demokratik bir ülkede gereklilik” ve “orantılılık” ilkelerine uygun olduğu kuşkusuzdur” </w:t>
      </w:r>
      <w:r w:rsidRPr="00852BA3">
        <w:rPr>
          <w:rFonts w:ascii="Arial Narrow" w:hAnsi="Arial Narrow" w:cs="Times New Roman"/>
          <w:sz w:val="23"/>
          <w:szCs w:val="23"/>
        </w:rPr>
        <w:t>demiştir.</w:t>
      </w:r>
      <w:r w:rsidRPr="00852BA3">
        <w:rPr>
          <w:rFonts w:ascii="Arial Narrow" w:hAnsi="Arial Narrow" w:cs="Times New Roman"/>
          <w:sz w:val="23"/>
          <w:szCs w:val="23"/>
          <w:vertAlign w:val="superscript"/>
        </w:rPr>
        <w:footnoteReference w:id="15"/>
      </w:r>
      <w:r w:rsidRPr="00852BA3">
        <w:rPr>
          <w:rFonts w:ascii="Arial Narrow" w:hAnsi="Arial Narrow" w:cs="Times New Roman"/>
          <w:sz w:val="23"/>
          <w:szCs w:val="23"/>
        </w:rPr>
        <w:t xml:space="preserve"> Kararda yer verilen ve geçmişe dönük olarak uygulandığı belirtilen hakim kararı, 09/12/2016 tarihinde Ankara 4. Sulh Ceza Hakimliği tarafından verilen yukarıdaki karardır (2016/6774 D. İş).</w:t>
      </w:r>
    </w:p>
    <w:p w14:paraId="54C7059E"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lastRenderedPageBreak/>
        <w:t>Karar tarihinden de anlaşılacağı üzere; MİT tarafından 2016 yılı Ocak ayında elde edilip üzerinde çalışma yapılan ve MİT’in 04/04/2017 tarihli basın açıklamasında belirttiği şekliyle Mayıs 2016 itibariyle resmi kurumlarla paylaşılan Bylock’la ilgili arama kararı, neredeyse bu bilgi ve verilerin elde edilmesinden on bir ay sonra verilmiştir. Özetle, Bylock bilgileri elde edilmeden önce Bylock sunucusunda arama yapılmasına ilişkin CMK’nın 134. maddesi gereğince alınmış bir hâkim kararı bulunmamaktaydı. Ayrıca CMK’da, Ceza Genel Kurulu karında bahsedildiği şekliyle geçmişe dönük arama usulü de bulunmadığı gibi arama kararları geçmişe değil geleceğe etkili sonuç doğurur. Zira kopyalama ve el koyma işlemi, ancak verilen arama kararı ve bu kararın icrası sonucu elde edilecek dijital materyal üzerinde yapılabilir.</w:t>
      </w:r>
    </w:p>
    <w:p w14:paraId="722F4F78"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Kısaca, soruşturma koşulu gibi Bylock verilerinin elde edilme işlemleri de tersinden yapılmıştır. Yani, söz konusu verilerin bulunduğu hard disk ve flash belleğe hakim kararı olmadan MİT tarafından 134/2. maddesi gereğince önce </w:t>
      </w:r>
      <w:r w:rsidRPr="00852BA3">
        <w:rPr>
          <w:rFonts w:ascii="Arial Narrow" w:hAnsi="Arial Narrow" w:cs="Times New Roman"/>
          <w:b/>
          <w:sz w:val="23"/>
          <w:szCs w:val="23"/>
        </w:rPr>
        <w:t xml:space="preserve">el koyma </w:t>
      </w:r>
      <w:r w:rsidRPr="00852BA3">
        <w:rPr>
          <w:rFonts w:ascii="Arial Narrow" w:hAnsi="Arial Narrow" w:cs="Times New Roman"/>
          <w:sz w:val="23"/>
          <w:szCs w:val="23"/>
        </w:rPr>
        <w:t xml:space="preserve">tedbiri uygulanmış, sonra da maddenin 1. fıkrasındaki </w:t>
      </w:r>
      <w:r w:rsidRPr="00852BA3">
        <w:rPr>
          <w:rFonts w:ascii="Arial Narrow" w:hAnsi="Arial Narrow" w:cs="Times New Roman"/>
          <w:b/>
          <w:sz w:val="23"/>
          <w:szCs w:val="23"/>
        </w:rPr>
        <w:t xml:space="preserve">arama </w:t>
      </w:r>
      <w:r w:rsidRPr="00852BA3">
        <w:rPr>
          <w:rFonts w:ascii="Arial Narrow" w:hAnsi="Arial Narrow" w:cs="Times New Roman"/>
          <w:sz w:val="23"/>
          <w:szCs w:val="23"/>
        </w:rPr>
        <w:t>tedbiri gerçekleştirilmiştir.</w:t>
      </w:r>
    </w:p>
    <w:p w14:paraId="1C089CF7"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c. Bylock Sunucusundan Usulüne Uygun İmaj Alınmış Mıdır?</w:t>
      </w:r>
    </w:p>
    <w:p w14:paraId="117A78A4"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MİT’in hazırladığı Teknik Raporda ve hazırlanan tutanaklarda Bylock bilgilerinin ele geçirilmesi sırasında Bylock sunucusunun bağlı olduğu ana bilgisayardan imaj alındığına ilişkin bir bilgiye ve verilerin elde ediliş yöntemine değinilmemiştir. Raporda, imaj alma işlemine hiç yer verilmeyip istihbari gerekçeler ileri sürülerek bilgilerin elde ediliş yöntemi dahi gizlenmiştir. MİT, Bylock sunucunun ele geçirilmesine ilişkin çalışmasını istihbari faaliyet kapsamında yapmış ve bilgileri </w:t>
      </w:r>
      <w:r w:rsidRPr="00852BA3">
        <w:rPr>
          <w:rFonts w:ascii="Arial Narrow" w:hAnsi="Arial Narrow" w:cs="Times New Roman"/>
          <w:i/>
          <w:iCs/>
          <w:sz w:val="23"/>
          <w:szCs w:val="23"/>
        </w:rPr>
        <w:t xml:space="preserve">“hassas” </w:t>
      </w:r>
      <w:r w:rsidRPr="00852BA3">
        <w:rPr>
          <w:rFonts w:ascii="Arial Narrow" w:hAnsi="Arial Narrow" w:cs="Times New Roman"/>
          <w:sz w:val="23"/>
          <w:szCs w:val="23"/>
        </w:rPr>
        <w:t>yöntem olarak adlandırdığı hackerlik (bilgisayar korsanlığı) yoluyla ele geçirmiştir.</w:t>
      </w:r>
    </w:p>
    <w:p w14:paraId="2272D4F1" w14:textId="54816033"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Sunucuya ve veri tabanına hâkim kararı olmadan müdahale edildiğinden; uygulamanın bütünlüğü, gizliliği, doğruluğu kaybolmuş, uygulama sunucusuna ve veri tabanına veri ekleme, silme ve çıkarma işlemlerinin yapılabilmesi mümkün hale gelmiş ve elde edilen bilgilerin güvenilirliği ortadan kalkmıştır. Kaldı ki bu konuda Ankara C.Başsavcılığı tarafından 2016/104109 soruşturma numaralı dosya kapsamında aldırılan 12/7/2017 tarihli bilirkişi raporunda da </w:t>
      </w:r>
      <w:r w:rsidRPr="00852BA3">
        <w:rPr>
          <w:rFonts w:ascii="Arial Narrow" w:hAnsi="Arial Narrow" w:cs="Times New Roman"/>
          <w:bCs/>
          <w:sz w:val="23"/>
          <w:szCs w:val="23"/>
        </w:rPr>
        <w:t>Bylock veri tabanının yapısının bozuk olduğu</w:t>
      </w:r>
      <w:r w:rsidRPr="00852BA3">
        <w:rPr>
          <w:rFonts w:ascii="Arial Narrow" w:hAnsi="Arial Narrow" w:cs="Times New Roman"/>
          <w:sz w:val="23"/>
          <w:szCs w:val="23"/>
        </w:rPr>
        <w:t>, yani orijinal olmadığı, üzerinde oynama yapıldığı ve bir takım teknik yöntemlerle geri getirildiği belirtilmiştir.</w:t>
      </w:r>
      <w:r w:rsidRPr="00852BA3">
        <w:rPr>
          <w:rFonts w:ascii="Arial Narrow" w:hAnsi="Arial Narrow" w:cs="Times New Roman"/>
          <w:sz w:val="23"/>
          <w:szCs w:val="23"/>
          <w:vertAlign w:val="superscript"/>
        </w:rPr>
        <w:t xml:space="preserve"> </w:t>
      </w:r>
    </w:p>
    <w:p w14:paraId="2A5FDF38"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Yargıtay kararlarında, içerisinde Bylock bilgilerini içeren materyallerin 09/12/2016 tarihinde savcılığa </w:t>
      </w:r>
      <w:r w:rsidRPr="00852BA3">
        <w:rPr>
          <w:rFonts w:ascii="Arial Narrow" w:hAnsi="Arial Narrow" w:cs="Times New Roman"/>
          <w:iCs/>
          <w:sz w:val="23"/>
          <w:szCs w:val="23"/>
        </w:rPr>
        <w:t>tesliminin ardından</w:t>
      </w:r>
      <w:r w:rsidRPr="00852BA3">
        <w:rPr>
          <w:rFonts w:ascii="Arial Narrow" w:hAnsi="Arial Narrow" w:cs="Times New Roman"/>
          <w:sz w:val="23"/>
          <w:szCs w:val="23"/>
        </w:rPr>
        <w:t xml:space="preserve"> bu dijital malzemeler üzerinden imaj alınması için sulh ceza hâkimliliğinden karar alındığı belirtilmiştir. İmaj alma işleminin gerçekleştirilebilmesi için usulüne uygun şekilde verilmiş bir arama kararı ve bu karara istinaden yapılan aramada dijital malzemenin ele geçirilmesi gerekirdi. Ancak, Bylock bilgilerinin elde edilmesiyle ilgili verilmiş bir arama kararı bulunmamaktadır. Zira bu konudaki hakim kararı, imajın alınmasından sonra verilmiştir. </w:t>
      </w:r>
    </w:p>
    <w:p w14:paraId="79255449" w14:textId="7A26F287" w:rsidR="00004A14"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Şöyle ki; Ceza Genel Kurulu, </w:t>
      </w:r>
      <w:r w:rsidRPr="00852BA3">
        <w:rPr>
          <w:rFonts w:ascii="Arial Narrow" w:hAnsi="Arial Narrow" w:cs="Times New Roman"/>
          <w:iCs/>
          <w:sz w:val="23"/>
          <w:szCs w:val="23"/>
        </w:rPr>
        <w:t xml:space="preserve">20/12/2018 </w:t>
      </w:r>
      <w:r w:rsidRPr="00852BA3">
        <w:rPr>
          <w:rFonts w:ascii="Arial Narrow" w:hAnsi="Arial Narrow" w:cs="Times New Roman"/>
          <w:sz w:val="23"/>
          <w:szCs w:val="23"/>
        </w:rPr>
        <w:t>tarihli kararında</w:t>
      </w:r>
      <w:r w:rsidRPr="00852BA3">
        <w:rPr>
          <w:rFonts w:ascii="Arial Narrow" w:hAnsi="Arial Narrow" w:cs="Times New Roman"/>
          <w:sz w:val="23"/>
          <w:szCs w:val="23"/>
          <w:vertAlign w:val="superscript"/>
        </w:rPr>
        <w:footnoteReference w:id="16"/>
      </w:r>
      <w:r w:rsidRPr="00852BA3">
        <w:rPr>
          <w:rFonts w:ascii="Arial Narrow" w:hAnsi="Arial Narrow" w:cs="Times New Roman"/>
          <w:sz w:val="23"/>
          <w:szCs w:val="23"/>
          <w:vertAlign w:val="superscript"/>
        </w:rPr>
        <w:t xml:space="preserve"> </w:t>
      </w:r>
      <w:r w:rsidRPr="00852BA3">
        <w:rPr>
          <w:rFonts w:ascii="Arial Narrow" w:hAnsi="Arial Narrow" w:cs="Times New Roman"/>
          <w:sz w:val="23"/>
          <w:szCs w:val="23"/>
        </w:rPr>
        <w:t xml:space="preserve">Emniyet Genel Müdürlüğü tarafından hazırlanan 11/12/2018 tarihli </w:t>
      </w:r>
      <w:r w:rsidRPr="00852BA3">
        <w:rPr>
          <w:rFonts w:ascii="Arial Narrow" w:hAnsi="Arial Narrow" w:cs="Times New Roman"/>
          <w:b/>
          <w:i/>
          <w:sz w:val="23"/>
          <w:szCs w:val="23"/>
        </w:rPr>
        <w:t xml:space="preserve">“Bylock Kronoloji Raporu” </w:t>
      </w:r>
      <w:r w:rsidRPr="00852BA3">
        <w:rPr>
          <w:rFonts w:ascii="Arial Narrow" w:hAnsi="Arial Narrow" w:cs="Times New Roman"/>
          <w:sz w:val="23"/>
          <w:szCs w:val="23"/>
        </w:rPr>
        <w:t xml:space="preserve">na yer vermiştir. Rapora göre; Bylock verilerinin imajı Ankara 4. Sulh Ceza Hakimliğinin 09/12/2016 tarihli kararından sonra değil, bu tarihten 11 gün önce ve hakim kararı olmadan alınmış ve bu suretle Bylock bilgi ve verileri orijinalliğini kaybetmiştir. İmaj alınması için 4. Sulh Ceza Hâkimliğince verilen karar üzerine 16/12/2016 tarihinde KOM Daire Başkanlığına teslim edilen Bylock abone listesi de </w:t>
      </w:r>
      <w:r w:rsidRPr="00852BA3">
        <w:rPr>
          <w:rFonts w:ascii="Arial Narrow" w:hAnsi="Arial Narrow" w:cs="Times New Roman"/>
          <w:b/>
          <w:sz w:val="23"/>
          <w:szCs w:val="23"/>
        </w:rPr>
        <w:t>bu karardan önce</w:t>
      </w:r>
      <w:r w:rsidRPr="00852BA3">
        <w:rPr>
          <w:rFonts w:ascii="Arial Narrow" w:hAnsi="Arial Narrow" w:cs="Times New Roman"/>
          <w:sz w:val="23"/>
          <w:szCs w:val="23"/>
        </w:rPr>
        <w:t xml:space="preserve"> oluşturulmuştur.</w:t>
      </w:r>
      <w:r w:rsidR="00004A14" w:rsidRPr="00852BA3">
        <w:rPr>
          <w:rFonts w:ascii="Arial Narrow" w:hAnsi="Arial Narrow" w:cs="Times New Roman"/>
          <w:sz w:val="23"/>
          <w:szCs w:val="23"/>
        </w:rPr>
        <w:t xml:space="preserve"> Verilerin, yargı denetimi dışında bırakılarak aylarca MİT’te tutulması bu verilerin güvenliğini de sakatlamıştır.</w:t>
      </w:r>
    </w:p>
    <w:p w14:paraId="03FA3B81"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lastRenderedPageBreak/>
        <w:t>d. 2937 Sayılı MİT Kanunu Açısından Kararın Değerlendirilmesi</w:t>
      </w:r>
    </w:p>
    <w:p w14:paraId="31C97850"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Bylock bilgilerinin elde edilme yöntemi CMK’ya aykırı olduğu gibi 2937 sayılı MİT Kanunu’na da aykırıdır. 2937 sayılı Kanun’un 4/1-i maddesiyle MİT’e verilen görevin kapsamı, terörle mücadele de dâhil istihbari yöntemlerle elde edilen bilgiler ışığında oluşturulan istihbaratın ilgili kuruluşlara ulaştırılmasından ibarettir ve bu aşamadan sonra konuyla ilgili araştırma ve istihbaratın gereğini yapma görevi ilgili kuruluşlara aittir. Ancak MİT, Bylock hususunda aldığı istihbaratı Başsavcılığına iletmemiş; görevi olmamasına rağmen bu konuyla ilgili çalışma yaparak adli soruşturma kapsamında elde edilmesi gereken Bylock bilgilerini istihbari çalışma sonucu elde etmiştir.</w:t>
      </w:r>
      <w:r w:rsidRPr="00852BA3">
        <w:rPr>
          <w:rStyle w:val="DipnotBavurusu"/>
          <w:rFonts w:ascii="Arial Narrow" w:hAnsi="Arial Narrow"/>
          <w:sz w:val="23"/>
          <w:szCs w:val="23"/>
        </w:rPr>
        <w:footnoteReference w:id="17"/>
      </w:r>
      <w:r w:rsidRPr="00852BA3">
        <w:rPr>
          <w:rFonts w:ascii="Arial Narrow" w:hAnsi="Arial Narrow" w:cs="Times New Roman"/>
          <w:sz w:val="23"/>
          <w:szCs w:val="23"/>
        </w:rPr>
        <w:t xml:space="preserve"> </w:t>
      </w:r>
    </w:p>
    <w:p w14:paraId="19197499"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2937 sayılı Kanun’un 4/2. maddesindeki MİT’e istihbari görev dışında vazife verilemeyeceğine ilişkin düzenleme karşısında da bu çalışmanın yasal olmadığı anlaşılmaktadır.</w:t>
      </w:r>
    </w:p>
    <w:p w14:paraId="009ADBC4"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pacing w:val="-1"/>
          <w:sz w:val="23"/>
          <w:szCs w:val="23"/>
        </w:rPr>
      </w:pPr>
      <w:r w:rsidRPr="00852BA3">
        <w:rPr>
          <w:rFonts w:ascii="Arial Narrow" w:hAnsi="Arial Narrow" w:cs="Times New Roman"/>
          <w:spacing w:val="-1"/>
          <w:sz w:val="23"/>
          <w:szCs w:val="23"/>
        </w:rPr>
        <w:t xml:space="preserve">Benzer şekilde, 2937 sayılı Kanun’un Ek-1. maddesinde, </w:t>
      </w:r>
      <w:r w:rsidRPr="00852BA3">
        <w:rPr>
          <w:rFonts w:ascii="Arial Narrow" w:hAnsi="Arial Narrow" w:cs="Times New Roman"/>
          <w:sz w:val="23"/>
          <w:szCs w:val="23"/>
        </w:rPr>
        <w:t xml:space="preserve">TCK’nın 326 ile 339. maddeleri arasında düzenlenen </w:t>
      </w:r>
      <w:r w:rsidRPr="00852BA3">
        <w:rPr>
          <w:rFonts w:ascii="Arial Narrow" w:hAnsi="Arial Narrow" w:cs="Times New Roman"/>
          <w:i/>
          <w:iCs/>
          <w:sz w:val="23"/>
          <w:szCs w:val="23"/>
        </w:rPr>
        <w:t>“casusluk suçları”</w:t>
      </w:r>
      <w:r w:rsidRPr="00852BA3">
        <w:rPr>
          <w:rFonts w:ascii="Arial Narrow" w:hAnsi="Arial Narrow" w:cs="Times New Roman"/>
          <w:sz w:val="23"/>
          <w:szCs w:val="23"/>
        </w:rPr>
        <w:t xml:space="preserve"> dışında </w:t>
      </w:r>
      <w:r w:rsidRPr="00852BA3">
        <w:rPr>
          <w:rFonts w:ascii="Arial Narrow" w:hAnsi="Arial Narrow" w:cs="Times New Roman"/>
          <w:spacing w:val="-1"/>
          <w:sz w:val="23"/>
          <w:szCs w:val="23"/>
        </w:rPr>
        <w:t xml:space="preserve">adli makamlarca MİT’in elindeki bilgi ve belgelerin istenemeyeceği ve bu suçlar dışında MİT’in elindeki bilgi ve belgelerin de adli makamlara verilemeyeceği belirtilmektedir. Bununla birlikte Ankara Cumhuriyet Başsavcılığı, TCK’nın 314. maddesinde düzenlenen </w:t>
      </w:r>
      <w:r w:rsidRPr="00852BA3">
        <w:rPr>
          <w:rFonts w:ascii="Arial Narrow" w:hAnsi="Arial Narrow" w:cs="Times New Roman"/>
          <w:i/>
          <w:iCs/>
          <w:spacing w:val="-1"/>
          <w:sz w:val="23"/>
          <w:szCs w:val="23"/>
        </w:rPr>
        <w:t>“silahlı terör örgütü suçu”</w:t>
      </w:r>
      <w:r w:rsidRPr="00852BA3">
        <w:rPr>
          <w:rFonts w:ascii="Arial Narrow" w:hAnsi="Arial Narrow" w:cs="Times New Roman"/>
          <w:spacing w:val="-1"/>
          <w:sz w:val="23"/>
          <w:szCs w:val="23"/>
        </w:rPr>
        <w:t xml:space="preserve"> kapsamında yürüttüğü soruşturmada MİT’ten Bylock bilgilerini istemiş; MİT de elde ettiği Bylock bilgilerini Başsavcılıkla paylaşmıştır. Dolayısıyla, MİT’in yaptığı çalışmanın 2937 sayılı Kanun’a uygun olduğu kabul edilse bile, bu bilgilerin müsnet suç nedeniyle adli mercilerle paylaşılması bu Kanun gereğince yasaktır.</w:t>
      </w:r>
    </w:p>
    <w:p w14:paraId="4FED9AEF"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2937 sayılı Kanun’un 6/6. maddesinde, MİT’in istihbari faaliyet kapsamında elde ettiği bilgilerin </w:t>
      </w:r>
      <w:r w:rsidRPr="00852BA3">
        <w:rPr>
          <w:rFonts w:ascii="Arial Narrow" w:hAnsi="Arial Narrow" w:cs="Times New Roman"/>
          <w:i/>
          <w:sz w:val="23"/>
          <w:szCs w:val="23"/>
        </w:rPr>
        <w:t>istihbari amaç dışında</w:t>
      </w:r>
      <w:r w:rsidRPr="00852BA3">
        <w:rPr>
          <w:rFonts w:ascii="Arial Narrow" w:hAnsi="Arial Narrow" w:cs="Times New Roman"/>
          <w:sz w:val="23"/>
          <w:szCs w:val="23"/>
        </w:rPr>
        <w:t xml:space="preserve"> kullanılamayacağı ifade edilmiştir. Burada bahsedilen, soruşturma ve kovuşturmalarda kullanılamayacak olan bilgiler, MİT’in görev alanına giren konularda ve hukuka uygun olarak elde ettiği bilgilerdir. Bylock bilgilerinin ise hukuka aykırı olarak ele geçirilmeleri nedeniyle zaten delil olarak kullanılabilmesi mümkün değildi.</w:t>
      </w:r>
    </w:p>
    <w:p w14:paraId="695DAD85"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Son olarak, CMK’nın 164. maddesinde adli kolluk görevi bulunan kurumları belirtmiş olup, madde gereğince MİT’in adli kolluk görevi, yani delil toplama yetkisi yoktur. Zira MİT’in esas görevi istihbarattır ve istihbarat görevini yaparken elde ettiği bilgiler, CMK da belirtilen usule göre elde edilmesi ve ancak 2937 sayılı Kanun’un Ek-1. maddesinde belirtilen casusluk suçları kapsamında olması halinde yasal delil olarak kullanılabilmektedir.</w:t>
      </w:r>
    </w:p>
    <w:p w14:paraId="49D6C5CC"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e. 6706 Sayılı Cezai Konularda Uluslararası Adli İş Birliği Kanunu</w:t>
      </w:r>
      <w:r w:rsidRPr="00852BA3">
        <w:rPr>
          <w:rFonts w:ascii="Arial Narrow" w:hAnsi="Arial Narrow" w:cs="Times New Roman"/>
          <w:b/>
          <w:sz w:val="23"/>
          <w:szCs w:val="23"/>
        </w:rPr>
        <w:t xml:space="preserve"> </w:t>
      </w:r>
      <w:r w:rsidRPr="00852BA3">
        <w:rPr>
          <w:rFonts w:ascii="Arial Narrow" w:hAnsi="Arial Narrow" w:cs="Times New Roman"/>
          <w:b/>
          <w:i/>
          <w:sz w:val="23"/>
          <w:szCs w:val="23"/>
        </w:rPr>
        <w:t>Açısından Kararın Değerlendirilmesi</w:t>
      </w:r>
    </w:p>
    <w:p w14:paraId="4F6EEDF6"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Bylock uygulaması Litvanya’da bulunmaktaydı ve bu sunucu üzerinde arama, kopyalama ve el koyma işlemi yapılabilmesi ancak 6706 sayılı Kanun ve tarafı olduğumuz uluslararası sözleşmeler gereğince yapılacak adli yardımlaşmayla mümkündü. Ayrıca, adli iş birliği yapılması halinde de bu işlemler Litvanya yargı mercilerince yerine getirilmeliydi. Ancak bu hususların hiç birine uyulmamıştır.</w:t>
      </w:r>
    </w:p>
    <w:p w14:paraId="6DABE1D0"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f. 5809 Sayılı Elektronik Haberleşme Kanunu Açısından Kararın Değerlendirilmesi</w:t>
      </w:r>
    </w:p>
    <w:p w14:paraId="7602D488"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Bylock bilgilerinin elde ediliş yöntemi 5809 sayılı Kanuna da aykırıdır. MİT, ele geçirdiği Bylock sunucusuna bağlanan IP adreslerini tespit etmiş ve 2937 sayılı Kanun’un 6/1-b maddesine (kamu kurum ve kuruluşlarıyla özel kuruluşlardan belge ve bilgi isteyebilme yetkisi) dayanarak bu IP’lerin kimlere ait olduğunu GSM şirketlerinden öğrenmiştir.</w:t>
      </w:r>
    </w:p>
    <w:p w14:paraId="65A05BDE"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Anayasa Mahkemesi konuyla ilgili verdiği kararında, MİT’e tanınan bu yetkinin istihbari bilgi toplama ve analiz yapmak için verildiğinin ve adli soruşturma ve kovuşturmayı gerektiren konularda kullanılamayacağının altını çizmiştir.</w:t>
      </w:r>
      <w:r w:rsidRPr="00852BA3">
        <w:rPr>
          <w:rStyle w:val="DipnotBavurusu"/>
          <w:rFonts w:ascii="Arial Narrow" w:hAnsi="Arial Narrow"/>
          <w:sz w:val="23"/>
          <w:szCs w:val="23"/>
        </w:rPr>
        <w:footnoteReference w:id="18"/>
      </w:r>
      <w:r w:rsidRPr="00852BA3">
        <w:rPr>
          <w:rFonts w:ascii="Arial Narrow" w:hAnsi="Arial Narrow" w:cs="Times New Roman"/>
          <w:sz w:val="23"/>
          <w:szCs w:val="23"/>
        </w:rPr>
        <w:t xml:space="preserve"> Ancak, MİT kendisine verilen bu yetkiyi de istihbari faaliyet kapsamında değil, adli soruşturmayı gerektiren bir konuda kullanmıştır.</w:t>
      </w:r>
    </w:p>
    <w:p w14:paraId="53F1343B" w14:textId="77777777" w:rsidR="00281BB0" w:rsidRPr="00852BA3" w:rsidRDefault="00281BB0" w:rsidP="00D7125A">
      <w:pPr>
        <w:tabs>
          <w:tab w:val="left" w:pos="284"/>
          <w:tab w:val="left" w:pos="567"/>
          <w:tab w:val="left" w:pos="851"/>
          <w:tab w:val="left" w:pos="1134"/>
          <w:tab w:val="left" w:pos="1418"/>
        </w:tabs>
        <w:spacing w:after="120"/>
        <w:jc w:val="both"/>
        <w:rPr>
          <w:rFonts w:ascii="Arial Narrow" w:hAnsi="Arial Narrow" w:cs="Times New Roman"/>
          <w:iCs/>
          <w:sz w:val="23"/>
          <w:szCs w:val="23"/>
        </w:rPr>
      </w:pPr>
      <w:r w:rsidRPr="00852BA3">
        <w:rPr>
          <w:rFonts w:ascii="Arial Narrow" w:hAnsi="Arial Narrow" w:cs="Times New Roman"/>
          <w:sz w:val="23"/>
          <w:szCs w:val="23"/>
        </w:rPr>
        <w:t xml:space="preserve">Ayrıca, </w:t>
      </w:r>
      <w:r w:rsidRPr="00852BA3">
        <w:rPr>
          <w:rFonts w:ascii="Arial Narrow" w:hAnsi="Arial Narrow" w:cs="Times New Roman"/>
          <w:color w:val="222222"/>
          <w:sz w:val="23"/>
          <w:szCs w:val="23"/>
          <w:shd w:val="clear" w:color="auto" w:fill="FFFFFF"/>
        </w:rPr>
        <w:t>5809 sayılı Elektronik Haberleşme Kanunu’nun 51/10. maddesinde; kişisel veri niteliğindeki</w:t>
      </w:r>
      <w:r w:rsidRPr="00852BA3">
        <w:rPr>
          <w:rFonts w:ascii="Arial Narrow" w:hAnsi="Arial Narrow" w:cs="Times New Roman"/>
          <w:b/>
          <w:color w:val="222222"/>
          <w:sz w:val="23"/>
          <w:szCs w:val="23"/>
          <w:shd w:val="clear" w:color="auto" w:fill="FFFFFF"/>
        </w:rPr>
        <w:t xml:space="preserve"> </w:t>
      </w:r>
      <w:r w:rsidRPr="00852BA3">
        <w:rPr>
          <w:rFonts w:ascii="Arial Narrow" w:hAnsi="Arial Narrow" w:cs="Times New Roman"/>
          <w:sz w:val="23"/>
          <w:szCs w:val="23"/>
        </w:rPr>
        <w:t xml:space="preserve">internet trafik verilerinin, haberleşmenin yapıldığı tarihten itibaren bir yıldan az ve iki yıldan fazla olmamak üzere saklanacağı ve saklanma sürelerinin yönetmelikle belirleneceği belirtilmiştir. Bu Kanuna dayanılarak çıkarılan Elektronik Haberleşme </w:t>
      </w:r>
      <w:r w:rsidRPr="00852BA3">
        <w:rPr>
          <w:rFonts w:ascii="Arial Narrow" w:hAnsi="Arial Narrow" w:cs="Times New Roman"/>
          <w:sz w:val="23"/>
          <w:szCs w:val="23"/>
        </w:rPr>
        <w:lastRenderedPageBreak/>
        <w:t xml:space="preserve">Sektöründe Kişisel Verilerin İşlenmesi ve Gizliliğinin Korunması Hakkında Yönetmeliğin 14/1 ve Elektronik Haberleşme Sektörüne İlişkin Yetkilendirme Yönetmeliği’nin 19/1-f maddeleri uyarınca da GSM şirketleri bu bilgileri en fazla bir yıl, gerçekleşmeyen (0 saniye) aramalara ilişkin kayıtları ise üç ay süreyle saklayabilir (m. 14/1). </w:t>
      </w:r>
      <w:r w:rsidRPr="00852BA3">
        <w:rPr>
          <w:rFonts w:ascii="Arial Narrow" w:hAnsi="Arial Narrow" w:cs="Times New Roman"/>
          <w:iCs/>
          <w:sz w:val="23"/>
          <w:szCs w:val="23"/>
        </w:rPr>
        <w:t>Bu sürelerden daha fazla bu bilgilerin saklanması özel hayatın gizliliğinin ihlaline neden olur ve bu bilgileri hukuka aykırı hale getirir.</w:t>
      </w:r>
      <w:r w:rsidRPr="00852BA3">
        <w:rPr>
          <w:rStyle w:val="DipnotBavurusu"/>
          <w:rFonts w:ascii="Arial Narrow" w:hAnsi="Arial Narrow"/>
          <w:iCs/>
          <w:sz w:val="23"/>
          <w:szCs w:val="23"/>
        </w:rPr>
        <w:footnoteReference w:id="19"/>
      </w:r>
      <w:r w:rsidRPr="00852BA3">
        <w:rPr>
          <w:rFonts w:ascii="Arial Narrow" w:hAnsi="Arial Narrow" w:cs="Times New Roman"/>
          <w:iCs/>
          <w:sz w:val="23"/>
          <w:szCs w:val="23"/>
        </w:rPr>
        <w:t xml:space="preserve"> </w:t>
      </w:r>
    </w:p>
    <w:p w14:paraId="676D9A71" w14:textId="77777777" w:rsidR="00281BB0" w:rsidRPr="00852BA3" w:rsidRDefault="00281BB0" w:rsidP="00D7125A">
      <w:pPr>
        <w:tabs>
          <w:tab w:val="left" w:pos="284"/>
          <w:tab w:val="left" w:pos="567"/>
          <w:tab w:val="left" w:pos="851"/>
          <w:tab w:val="left" w:pos="1134"/>
          <w:tab w:val="left" w:pos="1418"/>
        </w:tabs>
        <w:spacing w:after="120"/>
        <w:jc w:val="both"/>
        <w:rPr>
          <w:rFonts w:ascii="Arial Narrow" w:hAnsi="Arial Narrow" w:cs="Times New Roman"/>
          <w:sz w:val="23"/>
          <w:szCs w:val="23"/>
        </w:rPr>
      </w:pPr>
      <w:r w:rsidRPr="00852BA3">
        <w:rPr>
          <w:rFonts w:ascii="Arial Narrow" w:hAnsi="Arial Narrow" w:cs="Times New Roman"/>
          <w:iCs/>
          <w:sz w:val="23"/>
          <w:szCs w:val="23"/>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852BA3">
        <w:rPr>
          <w:rFonts w:ascii="Arial Narrow" w:hAnsi="Arial Narrow" w:cs="Times New Roman"/>
          <w:i/>
          <w:iCs/>
          <w:sz w:val="23"/>
          <w:szCs w:val="23"/>
        </w:rPr>
        <w:t xml:space="preserve"> </w:t>
      </w:r>
      <w:r w:rsidRPr="00852BA3">
        <w:rPr>
          <w:rFonts w:ascii="Arial Narrow" w:hAnsi="Arial Narrow" w:cs="Times New Roman"/>
          <w:iCs/>
          <w:sz w:val="23"/>
          <w:szCs w:val="23"/>
        </w:rPr>
        <w:t>kabulü, verilmeyen bir yetkinin keyfi olarak erişim ve yer sağlayıcılar tarafından kullanılması anlamına gelir ki bu durum hukuka aykırıdır.</w:t>
      </w:r>
    </w:p>
    <w:p w14:paraId="72CAC72D" w14:textId="77777777" w:rsidR="00281BB0" w:rsidRPr="00852BA3" w:rsidRDefault="00281BB0" w:rsidP="00D7125A">
      <w:pPr>
        <w:tabs>
          <w:tab w:val="left" w:pos="284"/>
          <w:tab w:val="left" w:pos="567"/>
          <w:tab w:val="left" w:pos="851"/>
          <w:tab w:val="left" w:pos="1134"/>
          <w:tab w:val="left" w:pos="1418"/>
        </w:tabs>
        <w:spacing w:after="120"/>
        <w:jc w:val="both"/>
        <w:rPr>
          <w:rFonts w:ascii="Arial Narrow" w:hAnsi="Arial Narrow" w:cs="Times New Roman"/>
          <w:sz w:val="23"/>
          <w:szCs w:val="23"/>
        </w:rPr>
      </w:pPr>
      <w:r w:rsidRPr="00852BA3">
        <w:rPr>
          <w:rFonts w:ascii="Arial Narrow" w:hAnsi="Arial Narrow" w:cs="Times New Roman"/>
          <w:spacing w:val="-3"/>
          <w:sz w:val="23"/>
          <w:szCs w:val="23"/>
        </w:rPr>
        <w:t xml:space="preserve">Kişilerin özel hayatın gizliliği kapsamında korunan ve haberleşmelerine ilişkin olan trafik bilgilerinin öngörülen sürelerden daha fazla saklanması halinde, ilgili GSM firması personeli TCK’nın 135. maddesinde düzenlenen </w:t>
      </w:r>
      <w:r w:rsidRPr="00852BA3">
        <w:rPr>
          <w:rFonts w:ascii="Arial Narrow" w:hAnsi="Arial Narrow" w:cs="Times New Roman"/>
          <w:i/>
          <w:iCs/>
          <w:spacing w:val="-3"/>
          <w:sz w:val="23"/>
          <w:szCs w:val="23"/>
        </w:rPr>
        <w:t xml:space="preserve">“kişisel verilerin kaydedilmesi”, </w:t>
      </w:r>
      <w:r w:rsidRPr="00852BA3">
        <w:rPr>
          <w:rFonts w:ascii="Arial Narrow" w:hAnsi="Arial Narrow" w:cs="Times New Roman"/>
          <w:spacing w:val="-3"/>
          <w:sz w:val="23"/>
          <w:szCs w:val="23"/>
        </w:rPr>
        <w:t>136. maddesinde düzenlenen</w:t>
      </w:r>
      <w:r w:rsidRPr="00852BA3">
        <w:rPr>
          <w:rFonts w:ascii="Arial Narrow" w:hAnsi="Arial Narrow" w:cs="Times New Roman"/>
          <w:i/>
          <w:iCs/>
          <w:spacing w:val="-3"/>
          <w:sz w:val="23"/>
          <w:szCs w:val="23"/>
        </w:rPr>
        <w:t xml:space="preserve"> “verileri hukuka aykırı olarak verme veya ele geçirme”</w:t>
      </w:r>
      <w:r w:rsidRPr="00852BA3">
        <w:rPr>
          <w:rFonts w:ascii="Arial Narrow" w:hAnsi="Arial Narrow" w:cs="Times New Roman"/>
          <w:spacing w:val="-3"/>
          <w:sz w:val="23"/>
          <w:szCs w:val="23"/>
        </w:rPr>
        <w:t xml:space="preserve"> ve 138. maddesinde düzenlenen </w:t>
      </w:r>
      <w:r w:rsidRPr="00852BA3">
        <w:rPr>
          <w:rFonts w:ascii="Arial Narrow" w:hAnsi="Arial Narrow" w:cs="Times New Roman"/>
          <w:i/>
          <w:spacing w:val="-3"/>
          <w:sz w:val="23"/>
          <w:szCs w:val="23"/>
        </w:rPr>
        <w:t>“verileri yok etmeme”</w:t>
      </w:r>
      <w:r w:rsidRPr="00852BA3">
        <w:rPr>
          <w:rFonts w:ascii="Arial Narrow" w:hAnsi="Arial Narrow" w:cs="Times New Roman"/>
          <w:spacing w:val="-3"/>
          <w:sz w:val="23"/>
          <w:szCs w:val="23"/>
        </w:rPr>
        <w:t xml:space="preserve"> suçlarından cezalandırılacak ve bu kişilerin cezası TCK’nın 137. maddesi gereğince yarı oranında değil, 5809 sayılı Kanun’un 6/3. maddesi gereğince bir kat arttırılacaktır. </w:t>
      </w:r>
    </w:p>
    <w:p w14:paraId="6847F94A" w14:textId="77777777" w:rsidR="00281BB0" w:rsidRPr="00852BA3" w:rsidRDefault="00281BB0" w:rsidP="00D7125A">
      <w:pPr>
        <w:tabs>
          <w:tab w:val="left" w:pos="284"/>
          <w:tab w:val="left" w:pos="560"/>
          <w:tab w:val="left" w:pos="851"/>
          <w:tab w:val="left" w:pos="1120"/>
          <w:tab w:val="left" w:pos="1418"/>
        </w:tabs>
        <w:spacing w:after="120"/>
        <w:jc w:val="both"/>
        <w:rPr>
          <w:rFonts w:ascii="Arial Narrow" w:hAnsi="Arial Narrow" w:cs="Times New Roman"/>
          <w:sz w:val="23"/>
          <w:szCs w:val="23"/>
        </w:rPr>
      </w:pPr>
      <w:r w:rsidRPr="00852BA3">
        <w:rPr>
          <w:rFonts w:ascii="Arial Narrow" w:hAnsi="Arial Narrow" w:cs="Times New Roman"/>
          <w:sz w:val="23"/>
          <w:szCs w:val="23"/>
        </w:rPr>
        <w:t>Mevzuattaki bu açık hükümlere rağmen; 5809 sayılı Yasada BTK’ya verilmiş bir yetki olmamasına rağmen, BTK’nın kişisel veri niteliğinde olan ve yasal süresi geçmiş internet trafik kayıtlarını fiilen sakladığı anlaşılmaktadır.</w:t>
      </w:r>
      <w:r w:rsidRPr="00852BA3">
        <w:rPr>
          <w:rFonts w:ascii="Arial Narrow" w:hAnsi="Arial Narrow"/>
          <w:sz w:val="23"/>
          <w:szCs w:val="23"/>
        </w:rPr>
        <w:t xml:space="preserve"> </w:t>
      </w:r>
      <w:r w:rsidRPr="00852BA3">
        <w:rPr>
          <w:rFonts w:ascii="Arial Narrow" w:hAnsi="Arial Narrow" w:cs="Times New Roman"/>
          <w:spacing w:val="-1"/>
          <w:sz w:val="23"/>
          <w:szCs w:val="23"/>
        </w:rPr>
        <w:t>Bu kayıtlar yargılama makamlarına sunulmakta, bunu yapan kişi ve kurumlar hakkında hiçbir cezai takibatın yapılmamakta, bu şekilde sunulan kayıtların hukuka aykırılık oluşturduğu mahkemeler tarafından dikkate alınmamakta, hukuka aykırı bu bilgiler yargılamalara esas alınmakta ve dosyalara konulmak suretiyle alenileştirilmektedir.</w:t>
      </w:r>
    </w:p>
    <w:p w14:paraId="2C33741C" w14:textId="77777777" w:rsidR="00281BB0" w:rsidRPr="00852BA3" w:rsidRDefault="00281BB0"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3"/>
          <w:szCs w:val="23"/>
        </w:rPr>
      </w:pPr>
      <w:r w:rsidRPr="00852BA3">
        <w:rPr>
          <w:rFonts w:ascii="Arial Narrow" w:hAnsi="Arial Narrow" w:cs="Times New Roman"/>
          <w:b/>
          <w:i/>
          <w:sz w:val="23"/>
          <w:szCs w:val="23"/>
        </w:rPr>
        <w:t>g. Sonuç</w:t>
      </w:r>
    </w:p>
    <w:p w14:paraId="4CFA230C"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pacing w:val="-2"/>
          <w:sz w:val="23"/>
          <w:szCs w:val="23"/>
        </w:rPr>
        <w:t xml:space="preserve">Anayasa’nın 38/6. maddesinde, kanuna aykırı elde edilmiş bulguların delil olarak kabul edilemeyeceği; CMK’nın 206/2-a maddesinde de ortaya konulması istenen bir delilin kanuna aykırı olarak elde edilmesi halinde reddolunacağı kurala bağlanmıştır. </w:t>
      </w:r>
      <w:r w:rsidRPr="00852BA3">
        <w:rPr>
          <w:rFonts w:ascii="Arial Narrow" w:hAnsi="Arial Narrow" w:cs="Times New Roman"/>
          <w:sz w:val="23"/>
          <w:szCs w:val="23"/>
        </w:rPr>
        <w:t>Yargıtay Ceza Genel Kurulu konuyla ilgili verdiği kararlarında, hakim kararı olmadan gerçekleştirilen aramalar neticesinde elde edilen delillerin hukuka aykırı olduğunu ve hükme esas alınamayacağını,</w:t>
      </w:r>
      <w:r w:rsidRPr="00852BA3">
        <w:rPr>
          <w:rStyle w:val="DipnotBavurusu"/>
          <w:rFonts w:ascii="Arial Narrow" w:hAnsi="Arial Narrow"/>
          <w:spacing w:val="-2"/>
          <w:sz w:val="23"/>
          <w:szCs w:val="23"/>
        </w:rPr>
        <w:footnoteReference w:id="20"/>
      </w:r>
      <w:r w:rsidRPr="00852BA3">
        <w:rPr>
          <w:rFonts w:ascii="Arial Narrow" w:hAnsi="Arial Narrow" w:cs="Times New Roman"/>
          <w:sz w:val="23"/>
          <w:szCs w:val="23"/>
        </w:rPr>
        <w:t xml:space="preserve"> AYM de hâkim kararı ve Cumhuriyet savcısının yazılı emri olmadan yapılan arama sonucu elde edilen delillere dayanılarak hüküm kurulmasının adil yargılanma hakkının ihlali olduğunu belirtmiştir.</w:t>
      </w:r>
      <w:r w:rsidRPr="00852BA3">
        <w:rPr>
          <w:rFonts w:ascii="Arial Narrow" w:hAnsi="Arial Narrow" w:cs="Times New Roman"/>
          <w:sz w:val="23"/>
          <w:szCs w:val="23"/>
          <w:vertAlign w:val="superscript"/>
        </w:rPr>
        <w:footnoteReference w:id="21"/>
      </w:r>
    </w:p>
    <w:p w14:paraId="331F6B23"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 xml:space="preserve">Yargıtay 16. Ceza Dairesi’nin Ergenekon davası olarak bilinen dosyayı bozma gerekçesinde, CMK’nın 134. maddesinde düzenlenen bilişim sistemlerinde aramanın ancak verilmiş bir hakim kararıyla mümkün olduğunun altı çizilmiştir. Her ne kadar maddede 25/07/2018 tarihinde değişiklik yapılıp gecikmesinde sakınca bulunan hallerde savcıya da arama kararı verme yetkisi tanınsa da, hem bu kararın verildiği, hem de Bylock bilgilerinin ele geçirildiği tarih itibariyle yalnızca hakim kararıyla sunucuda arama yapılabilmekteydi. </w:t>
      </w:r>
    </w:p>
    <w:p w14:paraId="575DE725" w14:textId="77777777" w:rsidR="00281BB0" w:rsidRPr="00852BA3" w:rsidRDefault="00281BB0"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852BA3">
        <w:rPr>
          <w:rFonts w:ascii="Arial Narrow" w:hAnsi="Arial Narrow" w:cs="Times New Roman"/>
          <w:sz w:val="23"/>
          <w:szCs w:val="23"/>
        </w:rPr>
        <w:t>Yukarıda açıklanan nedenlerle, Bylock verilerin ele geçirilmesinde yasal şartlara uyulmadığından; bu veriler yasak delildir ve yargılamalarda kullanılamaz. Bu hukuka aykırılık, bahse konu verilere dayanarak başlatılan bütün soruşturma işlemlerini, tanık vb. delileri de hukuka aykırı hale getirmiştir.</w:t>
      </w:r>
    </w:p>
    <w:p w14:paraId="667F0AC7" w14:textId="22574DC6" w:rsidR="00004A14" w:rsidRPr="00852BA3" w:rsidRDefault="00004A14" w:rsidP="00D712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i/>
          <w:sz w:val="23"/>
          <w:szCs w:val="23"/>
        </w:rPr>
      </w:pPr>
      <w:bookmarkStart w:id="0" w:name="_Hlk149143904"/>
      <w:r w:rsidRPr="00852BA3">
        <w:rPr>
          <w:rFonts w:ascii="Arial Narrow" w:hAnsi="Arial Narrow" w:cs="Times New Roman"/>
          <w:sz w:val="23"/>
          <w:szCs w:val="23"/>
        </w:rPr>
        <w:t>Ayrıca, bilirkişi incelemesi yaptırılmasına ve Bylock verilerinin tarafımıza verilmesine ilişkin talepler silahların eşitliği ve çelişmeli yargılama ilkesine aykırı olarak reddedilmiştir. Suçun unsurlarının varlığı araştırılmadan ve Bylock kullanmak suçun unsuru gibi kabul edilerek yapılan otomatik cezalandırmalar, suç ve cezaların yasallığı ilkesine açıkça aykırıdır.</w:t>
      </w:r>
      <w:bookmarkEnd w:id="0"/>
    </w:p>
    <w:p w14:paraId="31AE14E4" w14:textId="48795094" w:rsidR="00293898" w:rsidRPr="00852BA3" w:rsidRDefault="00663351" w:rsidP="00D7125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1"/>
        <w:jc w:val="both"/>
        <w:outlineLvl w:val="0"/>
        <w:rPr>
          <w:rFonts w:ascii="Arial Narrow" w:eastAsia="Times New Roman" w:hAnsi="Arial Narrow" w:cs="Times New Roman"/>
          <w:b/>
          <w:bCs/>
          <w:sz w:val="23"/>
          <w:szCs w:val="23"/>
          <w:lang w:eastAsia="tr-TR"/>
        </w:rPr>
      </w:pPr>
      <w:r w:rsidRPr="00852BA3">
        <w:rPr>
          <w:rFonts w:ascii="Arial Narrow" w:eastAsia="Times New Roman" w:hAnsi="Arial Narrow" w:cs="Times New Roman"/>
          <w:b/>
          <w:bCs/>
          <w:sz w:val="23"/>
          <w:szCs w:val="23"/>
          <w:lang w:eastAsia="tr-TR"/>
        </w:rPr>
        <w:t>5</w:t>
      </w:r>
      <w:r w:rsidR="00293898" w:rsidRPr="00852BA3">
        <w:rPr>
          <w:rFonts w:ascii="Arial Narrow" w:eastAsia="Times New Roman" w:hAnsi="Arial Narrow" w:cs="Times New Roman"/>
          <w:b/>
          <w:bCs/>
          <w:sz w:val="23"/>
          <w:szCs w:val="23"/>
          <w:lang w:eastAsia="tr-TR"/>
        </w:rPr>
        <w:t>) İtirafçı Beyanlarının Mahkumiyete Esas Alınması</w:t>
      </w:r>
    </w:p>
    <w:p w14:paraId="47735B4E" w14:textId="77777777" w:rsidR="00281BB0" w:rsidRPr="00852BA3" w:rsidRDefault="00281BB0" w:rsidP="00D7125A">
      <w:pPr>
        <w:tabs>
          <w:tab w:val="left" w:pos="284"/>
          <w:tab w:val="left" w:pos="567"/>
          <w:tab w:val="left" w:pos="851"/>
          <w:tab w:val="left" w:pos="1134"/>
          <w:tab w:val="left" w:pos="1418"/>
        </w:tabs>
        <w:spacing w:after="120"/>
        <w:jc w:val="both"/>
        <w:rPr>
          <w:rFonts w:ascii="Arial Narrow" w:hAnsi="Arial Narrow" w:cs="Times New Roman"/>
          <w:sz w:val="23"/>
          <w:szCs w:val="23"/>
        </w:rPr>
      </w:pPr>
      <w:r w:rsidRPr="00852BA3">
        <w:rPr>
          <w:rFonts w:ascii="Arial Narrow" w:hAnsi="Arial Narrow" w:cs="Times New Roman"/>
          <w:spacing w:val="-1"/>
          <w:sz w:val="23"/>
          <w:szCs w:val="23"/>
        </w:rPr>
        <w:t>Mahkeme</w:t>
      </w:r>
      <w:r w:rsidRPr="00852BA3">
        <w:rPr>
          <w:rFonts w:ascii="Arial Narrow" w:hAnsi="Arial Narrow" w:cs="Times New Roman"/>
          <w:sz w:val="23"/>
          <w:szCs w:val="23"/>
        </w:rPr>
        <w:t>, itirafçı tanık/itirafçı gizli tanık beyanlarını silahlı terör örgütü üyeliğinden mahkum edilmeme gerekçe yapmıştır.</w:t>
      </w:r>
    </w:p>
    <w:p w14:paraId="2F82A072" w14:textId="77777777" w:rsidR="00281BB0" w:rsidRPr="00852BA3" w:rsidRDefault="00281BB0" w:rsidP="00D7125A">
      <w:pPr>
        <w:tabs>
          <w:tab w:val="left" w:pos="284"/>
          <w:tab w:val="left" w:pos="567"/>
          <w:tab w:val="left" w:pos="851"/>
          <w:tab w:val="left" w:pos="1134"/>
          <w:tab w:val="left" w:pos="1418"/>
        </w:tabs>
        <w:spacing w:after="120"/>
        <w:jc w:val="both"/>
        <w:rPr>
          <w:rFonts w:ascii="Arial Narrow" w:hAnsi="Arial Narrow" w:cs="Times New Roman"/>
          <w:sz w:val="23"/>
          <w:szCs w:val="23"/>
        </w:rPr>
      </w:pPr>
      <w:r w:rsidRPr="00852BA3">
        <w:rPr>
          <w:rFonts w:ascii="Arial Narrow" w:hAnsi="Arial Narrow" w:cs="Times New Roman"/>
          <w:sz w:val="23"/>
          <w:szCs w:val="23"/>
        </w:rPr>
        <w:lastRenderedPageBreak/>
        <w:t xml:space="preserve">Ceza yargılamasında nelerin delil olarak kullanılabileceği ne kadar önemli ise o delilin ispat gücü de bir o kadar önemlidir. Zira her delilin ispat gücü aynı değildir ve her delile aynı değerde itibar edilemez. </w:t>
      </w:r>
      <w:r w:rsidRPr="00852BA3">
        <w:rPr>
          <w:rFonts w:ascii="Arial Narrow" w:hAnsi="Arial Narrow" w:cs="Times New Roman"/>
          <w:iCs/>
          <w:sz w:val="23"/>
          <w:szCs w:val="23"/>
        </w:rPr>
        <w:t xml:space="preserve">Bir ifadenin </w:t>
      </w:r>
      <w:r w:rsidRPr="00852BA3">
        <w:rPr>
          <w:rFonts w:ascii="Arial Narrow" w:hAnsi="Arial Narrow" w:cs="Times New Roman"/>
          <w:i/>
          <w:iCs/>
          <w:sz w:val="23"/>
          <w:szCs w:val="23"/>
        </w:rPr>
        <w:t>“beyan delili”</w:t>
      </w:r>
      <w:r w:rsidRPr="00852BA3">
        <w:rPr>
          <w:rFonts w:ascii="Arial Narrow" w:hAnsi="Arial Narrow" w:cs="Times New Roman"/>
          <w:iCs/>
          <w:sz w:val="23"/>
          <w:szCs w:val="23"/>
        </w:rPr>
        <w:t xml:space="preserve"> kabul edilmesi, yasalarda belirlenen usule göre elde edilmesine bağlıdır. Bu usule uyulmadan, örneğin yetkili olmayan kişilerce alınan ifadeler beyan delili değil, ancak belirti delili olarak kabul edilebilir. </w:t>
      </w:r>
      <w:r w:rsidRPr="00852BA3">
        <w:rPr>
          <w:rFonts w:ascii="Arial Narrow" w:hAnsi="Arial Narrow" w:cs="Times New Roman"/>
          <w:sz w:val="23"/>
          <w:szCs w:val="23"/>
        </w:rPr>
        <w:t>Burada özellikle üzerinde durulması gereken husus, CMK’nın 148. maddesinde belirtilen yasak usullerle elde edilmiş olan ifadelerin özgür irade ve rıza ile verilmiş olsa dahi hiçbir şekilde delil olarak kullanılamamasıdır.</w:t>
      </w:r>
      <w:r w:rsidRPr="00852BA3">
        <w:rPr>
          <w:rStyle w:val="DipnotBavurusu"/>
          <w:rFonts w:ascii="Arial Narrow" w:hAnsi="Arial Narrow"/>
          <w:sz w:val="23"/>
          <w:szCs w:val="23"/>
        </w:rPr>
        <w:footnoteReference w:id="22"/>
      </w:r>
    </w:p>
    <w:p w14:paraId="4151F87A" w14:textId="77777777" w:rsidR="00281BB0" w:rsidRPr="00852BA3" w:rsidRDefault="00281BB0" w:rsidP="00D7125A">
      <w:pPr>
        <w:pStyle w:val="DzMetin"/>
        <w:spacing w:after="120" w:line="276" w:lineRule="auto"/>
        <w:rPr>
          <w:rFonts w:ascii="Arial Narrow" w:hAnsi="Arial Narrow"/>
          <w:sz w:val="23"/>
          <w:szCs w:val="23"/>
        </w:rPr>
      </w:pPr>
      <w:r w:rsidRPr="00852BA3">
        <w:rPr>
          <w:rFonts w:ascii="Arial Narrow" w:hAnsi="Arial Narrow"/>
          <w:sz w:val="23"/>
          <w:szCs w:val="23"/>
        </w:rPr>
        <w:t>Sanık kendi aleyhine beyanda bulunabileceği gibi başkaları aleyhine de beyanda bulunabilir. İkinci durumda bu sanıklara itirafçı, bu ifadelere de itirafçı beyanı denir. İtirafçı ifadeleri de bir beyan delilidir fakat beyan delilleri içinde güven sıralamasında en alt grupta bulunur.</w:t>
      </w:r>
    </w:p>
    <w:p w14:paraId="00B6299B" w14:textId="77777777" w:rsidR="00281BB0" w:rsidRPr="00852BA3" w:rsidRDefault="00281BB0" w:rsidP="00D7125A">
      <w:pPr>
        <w:pStyle w:val="DzMetin"/>
        <w:spacing w:after="120" w:line="276" w:lineRule="auto"/>
        <w:rPr>
          <w:rFonts w:ascii="Arial Narrow" w:hAnsi="Arial Narrow"/>
          <w:sz w:val="23"/>
          <w:szCs w:val="23"/>
        </w:rPr>
      </w:pPr>
      <w:r w:rsidRPr="00852BA3">
        <w:rPr>
          <w:rFonts w:ascii="Arial Narrow" w:hAnsi="Arial Narrow"/>
          <w:sz w:val="23"/>
          <w:szCs w:val="23"/>
        </w:rPr>
        <w:t>Tarafsız tanık olarak kabul edilen kişiler, yargılamanın sonucundan hiçbir şekilde etkilenmeyen, olayla ilgisi olmayan, sanık veya mağdurla bağlantısı bulunmayan kişilerdir. Oysa sanık ve mağdur, verilecek karardan bizzat etkilenecek kişilerdir ve bu nedenle beyanlarına daha az itibar edilir. İtirafçı sanık ise bunun da altındadır. Çünkü kendisi de sanıktır ve başkaları aleyhine vereceği ifadeler sonucunda hiç ceza almama veya daha az ceza alma durumu vardır. Hatta bazı suçlarda olduğu gibi ödül alma hakkına bile sahiptir. Bu nedenle itirafçı beyanları en güvenilmez beyanlardır.</w:t>
      </w:r>
    </w:p>
    <w:p w14:paraId="6766C525" w14:textId="77777777" w:rsidR="00281BB0" w:rsidRPr="00852BA3" w:rsidRDefault="00281BB0" w:rsidP="00D7125A">
      <w:pPr>
        <w:pStyle w:val="DzMetin"/>
        <w:spacing w:after="120" w:line="276" w:lineRule="auto"/>
        <w:rPr>
          <w:rFonts w:ascii="Arial Narrow" w:hAnsi="Arial Narrow"/>
          <w:iCs/>
          <w:sz w:val="23"/>
          <w:szCs w:val="23"/>
        </w:rPr>
      </w:pPr>
      <w:r w:rsidRPr="00852BA3">
        <w:rPr>
          <w:rFonts w:ascii="Arial Narrow" w:hAnsi="Arial Narrow"/>
          <w:sz w:val="23"/>
          <w:szCs w:val="23"/>
        </w:rPr>
        <w:t>Sanığın kendi aleyhine verdiği beyanın dahi doğrulanması gerekirken, başkaları aleyhine verilen beyanlarla ilgili daha titiz davranılması gerektiği izahtan varestedir.</w:t>
      </w:r>
      <w:r w:rsidRPr="00852BA3">
        <w:rPr>
          <w:rFonts w:ascii="Arial Narrow" w:hAnsi="Arial Narrow"/>
          <w:iCs/>
          <w:sz w:val="23"/>
          <w:szCs w:val="23"/>
        </w:rPr>
        <w:t xml:space="preserve"> Yargıtay 16. Ceza Dairesi de konuyla ilgili verdiği bir kararında, itirafçı sanık olup tanık sıfatı ile dinlenen, etkin pişmanlıktan yararlanmak için sanık aleyhine beyanda bulunma hususunda hukuki menfaati olan kişinin anlatımının tek başına hükme esas alınamayacağını belirtmiştir.</w:t>
      </w:r>
      <w:r w:rsidRPr="00852BA3">
        <w:rPr>
          <w:rStyle w:val="DipnotBavurusu"/>
          <w:rFonts w:ascii="Arial Narrow" w:hAnsi="Arial Narrow"/>
          <w:iCs/>
          <w:sz w:val="23"/>
          <w:szCs w:val="23"/>
        </w:rPr>
        <w:footnoteReference w:id="23"/>
      </w:r>
      <w:r w:rsidRPr="00852BA3">
        <w:rPr>
          <w:rFonts w:ascii="Arial Narrow" w:hAnsi="Arial Narrow"/>
          <w:iCs/>
          <w:sz w:val="23"/>
          <w:szCs w:val="23"/>
        </w:rPr>
        <w:t xml:space="preserve"> </w:t>
      </w:r>
    </w:p>
    <w:p w14:paraId="6CA6123A" w14:textId="77777777" w:rsidR="00281BB0" w:rsidRPr="00852BA3" w:rsidRDefault="00281BB0" w:rsidP="00D7125A">
      <w:pPr>
        <w:pStyle w:val="DzMetin"/>
        <w:spacing w:after="120" w:line="276" w:lineRule="auto"/>
        <w:rPr>
          <w:rFonts w:ascii="Arial Narrow" w:hAnsi="Arial Narrow"/>
          <w:b/>
          <w:sz w:val="23"/>
          <w:szCs w:val="23"/>
        </w:rPr>
      </w:pPr>
      <w:r w:rsidRPr="00852BA3">
        <w:rPr>
          <w:rFonts w:ascii="Arial Narrow" w:hAnsi="Arial Narrow"/>
          <w:sz w:val="23"/>
          <w:szCs w:val="23"/>
        </w:rPr>
        <w:t xml:space="preserve">Kısaca, maddi gerçeği ortaya çıkarmakla yükümlü olan ceza hâkimi, muhakemeye katılanların iddiaları veya sanığın itirafı ile bağlı olmayıp </w:t>
      </w:r>
      <w:r w:rsidRPr="00852BA3">
        <w:rPr>
          <w:rFonts w:ascii="Arial Narrow" w:hAnsi="Arial Narrow"/>
          <w:i/>
          <w:sz w:val="23"/>
          <w:szCs w:val="23"/>
        </w:rPr>
        <w:t>“beyan”</w:t>
      </w:r>
      <w:r w:rsidRPr="00852BA3">
        <w:rPr>
          <w:rFonts w:ascii="Arial Narrow" w:hAnsi="Arial Narrow"/>
          <w:sz w:val="23"/>
          <w:szCs w:val="23"/>
        </w:rPr>
        <w:t xml:space="preserve"> delilinin mutlaka yan delillerle desteklenmesini aramalıdır ve </w:t>
      </w:r>
      <w:r w:rsidRPr="00852BA3">
        <w:rPr>
          <w:rFonts w:ascii="Arial Narrow" w:hAnsi="Arial Narrow"/>
          <w:iCs/>
          <w:sz w:val="23"/>
          <w:szCs w:val="23"/>
        </w:rPr>
        <w:t>Yargıtayın da bu hususa ilişkin istikrar kazanmış pek çok kararı vardır.</w:t>
      </w:r>
      <w:r w:rsidRPr="00852BA3">
        <w:rPr>
          <w:rStyle w:val="DipnotBavurusu"/>
          <w:rFonts w:ascii="Arial Narrow" w:hAnsi="Arial Narrow"/>
          <w:iCs/>
          <w:sz w:val="23"/>
          <w:szCs w:val="23"/>
        </w:rPr>
        <w:footnoteReference w:id="24"/>
      </w:r>
      <w:r w:rsidRPr="00852BA3">
        <w:rPr>
          <w:rFonts w:ascii="Arial Narrow" w:hAnsi="Arial Narrow"/>
          <w:iCs/>
          <w:sz w:val="23"/>
          <w:szCs w:val="23"/>
        </w:rPr>
        <w:t xml:space="preserve"> </w:t>
      </w:r>
    </w:p>
    <w:p w14:paraId="3A16350E" w14:textId="77777777" w:rsidR="00281BB0" w:rsidRPr="00852BA3" w:rsidRDefault="00281BB0" w:rsidP="00D7125A">
      <w:pPr>
        <w:pStyle w:val="hvl-default"/>
        <w:spacing w:after="120" w:line="276" w:lineRule="auto"/>
        <w:jc w:val="both"/>
        <w:rPr>
          <w:rFonts w:ascii="Arial Narrow" w:hAnsi="Arial Narrow" w:cs="Times New Roman"/>
          <w:sz w:val="23"/>
          <w:szCs w:val="23"/>
          <w:lang w:val="tr-TR"/>
        </w:rPr>
      </w:pPr>
      <w:r w:rsidRPr="00852BA3">
        <w:rPr>
          <w:rFonts w:ascii="Arial Narrow" w:hAnsi="Arial Narrow" w:cs="Times New Roman"/>
          <w:sz w:val="23"/>
          <w:szCs w:val="23"/>
          <w:lang w:val="tr-TR"/>
        </w:rPr>
        <w:t xml:space="preserve">Burada Yargıtayın aradığı yan delil başka bir beyan delili değildir. Yani bir beyan delili başka bir beyan delili ile desteklenemez. Yan delil, </w:t>
      </w:r>
      <w:r w:rsidRPr="00852BA3">
        <w:rPr>
          <w:rFonts w:ascii="Arial Narrow" w:hAnsi="Arial Narrow" w:cs="Times New Roman"/>
          <w:i/>
          <w:sz w:val="23"/>
          <w:szCs w:val="23"/>
          <w:lang w:val="tr-TR"/>
        </w:rPr>
        <w:t>“belge veya belirti”</w:t>
      </w:r>
      <w:r w:rsidRPr="00852BA3">
        <w:rPr>
          <w:rFonts w:ascii="Arial Narrow" w:hAnsi="Arial Narrow" w:cs="Times New Roman"/>
          <w:sz w:val="23"/>
          <w:szCs w:val="23"/>
          <w:lang w:val="tr-TR"/>
        </w:rPr>
        <w:t xml:space="preserve"> delili denilen maddi delildir</w:t>
      </w:r>
      <w:r w:rsidRPr="00852BA3">
        <w:rPr>
          <w:rStyle w:val="DipnotBavurusu"/>
          <w:rFonts w:ascii="Arial Narrow" w:hAnsi="Arial Narrow"/>
          <w:sz w:val="23"/>
          <w:szCs w:val="23"/>
          <w:lang w:val="tr-TR"/>
        </w:rPr>
        <w:footnoteReference w:id="25"/>
      </w:r>
      <w:r w:rsidRPr="00852BA3">
        <w:rPr>
          <w:rFonts w:ascii="Arial Narrow" w:hAnsi="Arial Narrow" w:cs="Times New Roman"/>
          <w:sz w:val="23"/>
          <w:szCs w:val="23"/>
          <w:lang w:val="tr-TR"/>
        </w:rPr>
        <w:t xml:space="preserve">. Yani beyan delili mutlaka maddi bir delille doğrulanmalıdır. Ayrıca, sanığa atılı suçun unsurlarını göstermeyen hususlar (yasal ve rutin faaliyetler) yan delil olarak kabul edilemez. </w:t>
      </w:r>
    </w:p>
    <w:p w14:paraId="00FE28D7" w14:textId="77777777" w:rsidR="00281BB0" w:rsidRPr="00852BA3" w:rsidRDefault="00281BB0" w:rsidP="00D7125A">
      <w:pPr>
        <w:pStyle w:val="hvl-default"/>
        <w:spacing w:after="120" w:line="276" w:lineRule="auto"/>
        <w:jc w:val="both"/>
        <w:rPr>
          <w:rFonts w:ascii="Arial Narrow" w:hAnsi="Arial Narrow" w:cs="Times New Roman"/>
          <w:b/>
          <w:sz w:val="23"/>
          <w:szCs w:val="23"/>
          <w:lang w:val="tr-TR"/>
        </w:rPr>
      </w:pPr>
      <w:r w:rsidRPr="00852BA3">
        <w:rPr>
          <w:rFonts w:ascii="Arial Narrow" w:hAnsi="Arial Narrow" w:cs="Times New Roman"/>
          <w:iCs/>
          <w:sz w:val="23"/>
          <w:szCs w:val="23"/>
          <w:lang w:val="tr-TR"/>
        </w:rPr>
        <w:t>Beyan delilinin bölünmesi konusunda da hata yapılmaktadır. Beyan delili bölünebilirdir.</w:t>
      </w:r>
      <w:r w:rsidRPr="00852BA3">
        <w:rPr>
          <w:rStyle w:val="DipnotBavurusu"/>
          <w:rFonts w:ascii="Arial Narrow" w:hAnsi="Arial Narrow"/>
          <w:iCs/>
          <w:sz w:val="23"/>
          <w:szCs w:val="23"/>
          <w:lang w:val="tr-TR"/>
        </w:rPr>
        <w:footnoteReference w:id="26"/>
      </w:r>
      <w:r w:rsidRPr="00852BA3">
        <w:rPr>
          <w:rFonts w:ascii="Arial Narrow" w:hAnsi="Arial Narrow" w:cs="Times New Roman"/>
          <w:iCs/>
          <w:sz w:val="23"/>
          <w:szCs w:val="23"/>
          <w:lang w:val="tr-TR"/>
        </w:rPr>
        <w:t xml:space="preserve"> Ancak, mevcut durum itibariyle bir itirafçı çok sayıda kişi hakkında iddialarda bulunmuş ve birinde isabet etmişse, bu itirafçı doğru söylüyor denilerek diğer kişiler hakkındaki iddialar da doğru kabul edilmektedir. Diğer bir deyişle, beyan bölünmeden tümüyle doğru varsayılmaktadır.</w:t>
      </w:r>
    </w:p>
    <w:p w14:paraId="31716FE9" w14:textId="252546FC" w:rsidR="00281BB0" w:rsidRPr="00852BA3" w:rsidRDefault="00281BB0" w:rsidP="00D7125A">
      <w:pPr>
        <w:pStyle w:val="DzMetin"/>
        <w:spacing w:after="120" w:line="276" w:lineRule="auto"/>
        <w:rPr>
          <w:rFonts w:ascii="Arial Narrow" w:hAnsi="Arial Narrow"/>
          <w:sz w:val="23"/>
          <w:szCs w:val="23"/>
        </w:rPr>
      </w:pPr>
      <w:r w:rsidRPr="00852BA3">
        <w:rPr>
          <w:rFonts w:ascii="Arial Narrow" w:hAnsi="Arial Narrow"/>
          <w:sz w:val="23"/>
          <w:szCs w:val="23"/>
        </w:rPr>
        <w:t>Son olarak, bu tür ifadeleri veren itirafçılar dahi cemaati bir terör örgütü ol</w:t>
      </w:r>
      <w:r w:rsidR="006E7CA4" w:rsidRPr="00852BA3">
        <w:rPr>
          <w:rFonts w:ascii="Arial Narrow" w:hAnsi="Arial Narrow"/>
          <w:sz w:val="23"/>
          <w:szCs w:val="23"/>
        </w:rPr>
        <w:t>arak</w:t>
      </w:r>
      <w:r w:rsidRPr="00852BA3">
        <w:rPr>
          <w:rFonts w:ascii="Arial Narrow" w:hAnsi="Arial Narrow"/>
          <w:sz w:val="23"/>
          <w:szCs w:val="23"/>
        </w:rPr>
        <w:t xml:space="preserve"> bilmediklerini, aleyhine ifade verdikleri kişilerin Yargıtay’ca Cemaatin amaç suçu kabul edilen darbe teşebbüsünden habersiz olduklarını ve suçlamaya dayanak yapılan faaliyetlerin bir cemaat faaliyeti olarak bildikleri söylemekteyken, aleyhine ifade verilen kişilerin bunları terör faaliyeti kapsamında yaptıklarını kabul etmek akla ve hukuka aykırıdır. Kaldı ki, ortada ne bir silahlı örgüt, ne de örgütsel faaliyet vardır. Yargılama konusu hususlar yasal ve rutin faaliyetler ve cemaat mensubiyetidir. Cemaat mensubiyeti ise kesinlikle suç değildir.</w:t>
      </w:r>
      <w:r w:rsidR="00004A14" w:rsidRPr="00852BA3">
        <w:rPr>
          <w:rFonts w:ascii="Arial Narrow" w:hAnsi="Arial Narrow"/>
          <w:sz w:val="23"/>
          <w:szCs w:val="23"/>
        </w:rPr>
        <w:t xml:space="preserve"> </w:t>
      </w:r>
      <w:bookmarkStart w:id="1" w:name="_Hlk149143966"/>
      <w:r w:rsidR="00004A14" w:rsidRPr="00852BA3">
        <w:rPr>
          <w:rFonts w:ascii="Arial Narrow" w:hAnsi="Arial Narrow"/>
          <w:sz w:val="23"/>
          <w:szCs w:val="23"/>
        </w:rPr>
        <w:t>Yasal ve rutin faaliyetlere işaret eden ve suçun unsurlarına karşılık gelmeyen tanık beyanlarının bir delil değil de suçun unsuru gibi kabul edilerek, yani suçun unsurlarının yerine ikame edilmesi suç ve cezaların yasallığı ilkesine de aykırıdır.</w:t>
      </w:r>
      <w:bookmarkEnd w:id="1"/>
    </w:p>
    <w:p w14:paraId="67DF1323" w14:textId="77777777" w:rsidR="00281BB0" w:rsidRPr="00852BA3" w:rsidRDefault="00281BB0" w:rsidP="00D7125A">
      <w:pPr>
        <w:pStyle w:val="DzMetin"/>
        <w:spacing w:after="120" w:line="276" w:lineRule="auto"/>
        <w:rPr>
          <w:rFonts w:ascii="Arial Narrow" w:hAnsi="Arial Narrow"/>
          <w:sz w:val="23"/>
          <w:szCs w:val="23"/>
        </w:rPr>
      </w:pPr>
      <w:r w:rsidRPr="00852BA3">
        <w:rPr>
          <w:rFonts w:ascii="Arial Narrow" w:hAnsi="Arial Narrow"/>
          <w:sz w:val="23"/>
          <w:szCs w:val="23"/>
        </w:rPr>
        <w:lastRenderedPageBreak/>
        <w:t>Somut yargılamada, tanığın itirafçı olduğu ve suçlamada bulunmakta menfaati olduğu niteliği değerlendirmemiş ve bu kişinin/kişilerin beyanlarına dayalı mahkumiyet hükmü verilmiştir.</w:t>
      </w:r>
      <w:r w:rsidRPr="00852BA3">
        <w:rPr>
          <w:rStyle w:val="DipnotBavurusu"/>
          <w:rFonts w:ascii="Arial Narrow" w:hAnsi="Arial Narrow"/>
          <w:sz w:val="23"/>
          <w:szCs w:val="23"/>
        </w:rPr>
        <w:footnoteReference w:id="27"/>
      </w:r>
    </w:p>
    <w:p w14:paraId="24E61AE2" w14:textId="4F22A25C" w:rsidR="00D7125A" w:rsidRPr="00614020" w:rsidRDefault="00412DA3" w:rsidP="00D7125A">
      <w:pPr>
        <w:shd w:val="clear" w:color="auto" w:fill="FFFFFF"/>
        <w:spacing w:after="120"/>
        <w:jc w:val="both"/>
        <w:rPr>
          <w:rFonts w:ascii="Arial Narrow" w:eastAsia="Times New Roman" w:hAnsi="Arial Narrow" w:cs="Times New Roman"/>
          <w:b/>
          <w:bCs/>
          <w:sz w:val="24"/>
          <w:szCs w:val="24"/>
          <w:lang w:eastAsia="tr-TR"/>
        </w:rPr>
      </w:pPr>
      <w:r>
        <w:rPr>
          <w:rFonts w:ascii="Arial Narrow" w:eastAsia="Times New Roman" w:hAnsi="Arial Narrow" w:cs="Times New Roman"/>
          <w:b/>
          <w:bCs/>
          <w:sz w:val="24"/>
          <w:szCs w:val="24"/>
          <w:lang w:eastAsia="tr-TR"/>
        </w:rPr>
        <w:t>6</w:t>
      </w:r>
      <w:r w:rsidR="00D7125A" w:rsidRPr="00614020">
        <w:rPr>
          <w:rFonts w:ascii="Arial Narrow" w:eastAsia="Times New Roman" w:hAnsi="Arial Narrow" w:cs="Times New Roman"/>
          <w:b/>
          <w:bCs/>
          <w:sz w:val="24"/>
          <w:szCs w:val="24"/>
          <w:lang w:eastAsia="tr-TR"/>
        </w:rPr>
        <w:t>) Kanunsuz Suç ve Ceza Olmaz İlkesi</w:t>
      </w:r>
    </w:p>
    <w:p w14:paraId="2AA2078D"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Ceza mevzuatı</w:t>
      </w:r>
      <w:r>
        <w:rPr>
          <w:rFonts w:ascii="Arial Narrow" w:hAnsi="Arial Narrow"/>
          <w:color w:val="auto"/>
          <w:sz w:val="23"/>
          <w:szCs w:val="23"/>
        </w:rPr>
        <w:t>n</w:t>
      </w:r>
      <w:r w:rsidRPr="00EC42C7">
        <w:rPr>
          <w:rFonts w:ascii="Arial Narrow" w:hAnsi="Arial Narrow"/>
          <w:color w:val="auto"/>
          <w:sz w:val="23"/>
          <w:szCs w:val="23"/>
        </w:rPr>
        <w:t xml:space="preserve">da silahlı örgüt TCK’nın 314. maddesinde düzenlenmiş, fakat tanımı açıkça yapılmamıştır. Silahlı örgüt; aynı zamanda bir terör örgütü olduğundan, TMK’nın 7/1. ve TCK 314/3. maddelerindeki atıf nedeniyle suç örgütüne ilişkin TCK’nın 220. maddesindeki unsurlarla birlikte TCK’nın 314. maddesinde belirtilen unsurların bir araya gelmesiyle oluşan yapıdır. Söz konusu unsurların içeriği yıllar içinde Yargıtay içtihatlarıyla ortaya konulmuştur. </w:t>
      </w:r>
    </w:p>
    <w:p w14:paraId="25086F96"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Silahlı örgütler, Devletin güvenliğine, ülke bütünlüğüne ve Anayasal düzene karşı ağır ve yakın zarar tehlikesi yaratan oluşumlar olup eylemleri bir tehlike suçu olarak kabul edilmiştir. Ancak, bu tehlikenin </w:t>
      </w:r>
      <w:r w:rsidRPr="00EC42C7">
        <w:rPr>
          <w:rFonts w:ascii="Arial Narrow" w:hAnsi="Arial Narrow"/>
          <w:i/>
          <w:color w:val="auto"/>
          <w:sz w:val="23"/>
          <w:szCs w:val="23"/>
        </w:rPr>
        <w:t>"maddi bir fiil"</w:t>
      </w:r>
      <w:r w:rsidRPr="00EC42C7">
        <w:rPr>
          <w:rFonts w:ascii="Arial Narrow" w:hAnsi="Arial Narrow"/>
          <w:color w:val="auto"/>
          <w:sz w:val="23"/>
          <w:szCs w:val="23"/>
        </w:rPr>
        <w:t xml:space="preserve"> ile ve </w:t>
      </w:r>
      <w:r w:rsidRPr="00EC42C7">
        <w:rPr>
          <w:rFonts w:ascii="Arial Narrow" w:hAnsi="Arial Narrow"/>
          <w:i/>
          <w:color w:val="auto"/>
          <w:sz w:val="23"/>
          <w:szCs w:val="23"/>
        </w:rPr>
        <w:t>"ciddi"</w:t>
      </w:r>
      <w:r w:rsidRPr="00EC42C7">
        <w:rPr>
          <w:rFonts w:ascii="Arial Narrow" w:hAnsi="Arial Narrow"/>
          <w:color w:val="auto"/>
          <w:sz w:val="23"/>
          <w:szCs w:val="23"/>
        </w:rPr>
        <w:t xml:space="preserve"> olarak ortaya çıkması gerekir. Yargı bu unsurların oluştuğunu </w:t>
      </w:r>
      <w:r w:rsidRPr="00EC42C7">
        <w:rPr>
          <w:rFonts w:ascii="Arial Narrow" w:hAnsi="Arial Narrow"/>
          <w:i/>
          <w:color w:val="auto"/>
          <w:sz w:val="23"/>
          <w:szCs w:val="23"/>
        </w:rPr>
        <w:t>“matuf eylem”</w:t>
      </w:r>
      <w:r w:rsidRPr="00EC42C7">
        <w:rPr>
          <w:rFonts w:ascii="Arial Narrow" w:hAnsi="Arial Narrow"/>
          <w:color w:val="auto"/>
          <w:sz w:val="23"/>
          <w:szCs w:val="23"/>
        </w:rPr>
        <w:t xml:space="preserve"> ile tespit eder. Bir yapılanmanın amacının ne olduğuna, </w:t>
      </w:r>
      <w:r w:rsidRPr="00EC42C7">
        <w:rPr>
          <w:rFonts w:ascii="Arial Narrow" w:hAnsi="Arial Narrow"/>
          <w:i/>
          <w:color w:val="auto"/>
          <w:sz w:val="23"/>
          <w:szCs w:val="23"/>
        </w:rPr>
        <w:t>“amaç suça”</w:t>
      </w:r>
      <w:r w:rsidRPr="00EC42C7">
        <w:rPr>
          <w:rFonts w:ascii="Arial Narrow" w:hAnsi="Arial Narrow"/>
          <w:color w:val="auto"/>
          <w:sz w:val="23"/>
          <w:szCs w:val="23"/>
        </w:rPr>
        <w:t xml:space="preserve"> yönelip yönelmediğine, bu amaca ulaşmaya elverişli olup olmadığına, ağır ve yakın bir zarar tehlikesi yaratıp yaratmadığına ve dolayısıyla bu yapılanmanın </w:t>
      </w:r>
      <w:r w:rsidRPr="00EC42C7">
        <w:rPr>
          <w:rFonts w:ascii="Arial Narrow" w:hAnsi="Arial Narrow"/>
          <w:i/>
          <w:color w:val="auto"/>
          <w:sz w:val="23"/>
          <w:szCs w:val="23"/>
        </w:rPr>
        <w:t>"silahlı örgüt"</w:t>
      </w:r>
      <w:r w:rsidRPr="00EC42C7">
        <w:rPr>
          <w:rFonts w:ascii="Arial Narrow" w:hAnsi="Arial Narrow"/>
          <w:color w:val="auto"/>
          <w:sz w:val="23"/>
          <w:szCs w:val="23"/>
        </w:rPr>
        <w:t xml:space="preserve"> olarak kabul edilip edilmeyeceğine </w:t>
      </w:r>
      <w:r w:rsidRPr="00EC42C7">
        <w:rPr>
          <w:rFonts w:ascii="Arial Narrow" w:hAnsi="Arial Narrow"/>
          <w:i/>
          <w:color w:val="auto"/>
          <w:sz w:val="23"/>
          <w:szCs w:val="23"/>
        </w:rPr>
        <w:t>"matuf eylem"</w:t>
      </w:r>
      <w:r w:rsidRPr="00EC42C7">
        <w:rPr>
          <w:rFonts w:ascii="Arial Narrow" w:hAnsi="Arial Narrow"/>
          <w:color w:val="auto"/>
          <w:sz w:val="23"/>
          <w:szCs w:val="23"/>
        </w:rPr>
        <w:t xml:space="preserve"> ile karar verilir. Matuf eylem, silahlı mücadelenin başladığının da göstergesidir. Yani matuf eylem gerçekleştiren yapılanmalar silahlı örgüt (çete) haline gelmiştir.</w:t>
      </w:r>
    </w:p>
    <w:p w14:paraId="4FAD8C48"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Yargıtay, suç teşkil eden ve vahamet arz eden eylemleri </w:t>
      </w:r>
      <w:r w:rsidRPr="00EC42C7">
        <w:rPr>
          <w:rFonts w:ascii="Arial Narrow" w:hAnsi="Arial Narrow"/>
          <w:i/>
          <w:color w:val="auto"/>
          <w:sz w:val="23"/>
          <w:szCs w:val="23"/>
        </w:rPr>
        <w:t>"matuf eylem"</w:t>
      </w:r>
      <w:r w:rsidRPr="00EC42C7">
        <w:rPr>
          <w:rFonts w:ascii="Arial Narrow" w:hAnsi="Arial Narrow"/>
          <w:color w:val="auto"/>
          <w:sz w:val="23"/>
          <w:szCs w:val="23"/>
        </w:rPr>
        <w:t xml:space="preserve"> olarak kabul etmektedir. Uygulamada, özellikle kişilerin güvenliğine, hürriyetine veya hayatına yönelik eylemler matuf eylem olarak kabul edilir. Örneğin, güvenlik güçleriyle silahlı çatışma, karakol baskını, silahlı gasp, asker, polis veya sivil vatandaş öldürme veya öldürmeye teşebbüs ve hürriyeti tahdit bu tür eylemlerdendir.</w:t>
      </w:r>
    </w:p>
    <w:p w14:paraId="4FEB883D"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2003 yılında TMK’da yapılan değişiklik sonucu gerek terör örgütlerinin ve gerekse silahlı örgütlerin nihai amaçlarına yönelik bir </w:t>
      </w:r>
      <w:r w:rsidRPr="00EC42C7">
        <w:rPr>
          <w:rFonts w:ascii="Arial Narrow" w:hAnsi="Arial Narrow"/>
          <w:i/>
          <w:color w:val="auto"/>
          <w:sz w:val="23"/>
          <w:szCs w:val="23"/>
        </w:rPr>
        <w:t>"suç"</w:t>
      </w:r>
      <w:r w:rsidRPr="00EC42C7">
        <w:rPr>
          <w:rFonts w:ascii="Arial Narrow" w:hAnsi="Arial Narrow"/>
          <w:color w:val="auto"/>
          <w:sz w:val="23"/>
          <w:szCs w:val="23"/>
        </w:rPr>
        <w:t xml:space="preserve"> işlemeleri zorunlu hale gelmiştir. Silahlı örgütün ise terör örgütlerine oranla biraz daha ağır bir suç işlemesi gerekir. Bu suç ise matuf eylemin karşılığı olan matuf (vahim) suçtur. Yargıtay, 2003 değişikliğinden önce de matuf eylemin suç teşkil eden bir fiil olmasını ararken, 2003 değişikliği ile bu husus yasal bir zorunluluk haline gelmiştir. Bu nedenle, bir örgütün TCK'nın 314. maddesi kapsamında silahlı örgüt olarak kabulü için mutlaka matuf eylem (matuf suç) gerçekleştirdiğinin kesinleşmiş bir yargı kararıyla tespiti gerekir. Bunun sonucu olarak silahlı örgüt kabulü, ancak matuf eylem yargılamasında verilecek bir mahkumiyet kararıyla yapılabilir. </w:t>
      </w:r>
    </w:p>
    <w:p w14:paraId="19D65D16" w14:textId="77777777" w:rsidR="00D7125A" w:rsidRPr="00EC42C7" w:rsidRDefault="00D7125A" w:rsidP="00D7125A">
      <w:pPr>
        <w:pStyle w:val="DzMetin"/>
        <w:spacing w:after="120" w:line="276" w:lineRule="auto"/>
        <w:ind w:right="-22"/>
        <w:rPr>
          <w:rFonts w:ascii="Arial Narrow" w:eastAsia="Arial" w:hAnsi="Arial Narrow"/>
          <w:sz w:val="23"/>
          <w:szCs w:val="23"/>
        </w:rPr>
      </w:pPr>
      <w:r w:rsidRPr="00EC42C7">
        <w:rPr>
          <w:rFonts w:ascii="Arial Narrow" w:hAnsi="Arial Narrow"/>
          <w:sz w:val="23"/>
          <w:szCs w:val="23"/>
        </w:rPr>
        <w:t xml:space="preserve">Terör suçlarına bakmak üzere kurulan Yargıtay 9. Ceza Dairesinin silahlı örgüt kabulüne ilişkin </w:t>
      </w:r>
      <w:r w:rsidRPr="00EC42C7">
        <w:rPr>
          <w:rFonts w:ascii="Arial Narrow" w:hAnsi="Arial Narrow"/>
          <w:bCs/>
          <w:sz w:val="23"/>
          <w:szCs w:val="23"/>
        </w:rPr>
        <w:t>pek çok kararında görüleceği üzere,</w:t>
      </w:r>
      <w:r w:rsidRPr="00EC42C7">
        <w:rPr>
          <w:rStyle w:val="DipnotBavurusu"/>
          <w:rFonts w:ascii="Arial Narrow" w:hAnsi="Arial Narrow"/>
          <w:bCs/>
          <w:sz w:val="23"/>
          <w:szCs w:val="23"/>
        </w:rPr>
        <w:footnoteReference w:id="28"/>
      </w:r>
      <w:r w:rsidRPr="00EC42C7">
        <w:rPr>
          <w:rFonts w:ascii="Arial Narrow" w:hAnsi="Arial Narrow"/>
          <w:bCs/>
          <w:sz w:val="23"/>
          <w:szCs w:val="23"/>
        </w:rPr>
        <w:t xml:space="preserve"> silahlı örgüt tespiti ve kabulü ilk matuf eylemden verilen mahkûmiyet hükümlerinin temyiz incelemesinde yapılmıştır. </w:t>
      </w:r>
      <w:r w:rsidRPr="00EC42C7">
        <w:rPr>
          <w:rFonts w:ascii="Arial Narrow" w:eastAsia="Arial" w:hAnsi="Arial Narrow"/>
          <w:sz w:val="23"/>
          <w:szCs w:val="23"/>
        </w:rPr>
        <w:t xml:space="preserve">Yargıtay, bu kararlarında matuf suçtan verilen mahkûmiyet hükümlerinin onanmasına karar verirken, yerel mahkemenin </w:t>
      </w:r>
      <w:r w:rsidRPr="00EC42C7">
        <w:rPr>
          <w:rFonts w:ascii="Arial Narrow" w:eastAsia="Arial" w:hAnsi="Arial Narrow"/>
          <w:i/>
          <w:sz w:val="23"/>
          <w:szCs w:val="23"/>
        </w:rPr>
        <w:t>“silahlı çete”</w:t>
      </w:r>
      <w:r w:rsidRPr="00EC42C7">
        <w:rPr>
          <w:rFonts w:ascii="Arial Narrow" w:eastAsia="Arial" w:hAnsi="Arial Narrow"/>
          <w:sz w:val="23"/>
          <w:szCs w:val="23"/>
        </w:rPr>
        <w:t xml:space="preserve"> kabulünü tasdik ettiğini ve bu tasdiki yaparken de örgütün </w:t>
      </w:r>
      <w:r w:rsidRPr="00EC42C7">
        <w:rPr>
          <w:rFonts w:ascii="Arial Narrow" w:eastAsia="Arial" w:hAnsi="Arial Narrow"/>
          <w:i/>
          <w:sz w:val="23"/>
          <w:szCs w:val="23"/>
        </w:rPr>
        <w:t>"amaca yöneldiğinin ve ciddi tehlike doğurduğunun, vahim nitelikte eylemler gerçekleştirmesi nedeniyle anlaşıldığını”</w:t>
      </w:r>
      <w:r w:rsidRPr="00EC42C7">
        <w:rPr>
          <w:rFonts w:ascii="Arial Narrow" w:eastAsia="Arial" w:hAnsi="Arial Narrow"/>
          <w:sz w:val="23"/>
          <w:szCs w:val="23"/>
        </w:rPr>
        <w:t xml:space="preserve"> belirtmiştir. Yine, kararlarda bu yapılanmaların gerçekleştirdiği matuf (vahim) eylemler tek tek yazılmış, tarih, mağdur, maktul ve sanıklar belirtilerek, bu eylemleri gerçekleştiren örgütün </w:t>
      </w:r>
      <w:r w:rsidRPr="00EC42C7">
        <w:rPr>
          <w:rFonts w:ascii="Arial Narrow" w:eastAsia="Arial" w:hAnsi="Arial Narrow"/>
          <w:i/>
          <w:sz w:val="23"/>
          <w:szCs w:val="23"/>
        </w:rPr>
        <w:t>"silahlı örgüt olarak kabulü isabetlidir"</w:t>
      </w:r>
      <w:r w:rsidRPr="00EC42C7">
        <w:rPr>
          <w:rFonts w:ascii="Arial Narrow" w:eastAsia="Arial" w:hAnsi="Arial Narrow"/>
          <w:sz w:val="23"/>
          <w:szCs w:val="23"/>
        </w:rPr>
        <w:t xml:space="preserve"> denilmiştir.</w:t>
      </w:r>
    </w:p>
    <w:p w14:paraId="4FBDCF10" w14:textId="77777777" w:rsidR="00D7125A" w:rsidRDefault="00D7125A" w:rsidP="00D7125A">
      <w:pPr>
        <w:spacing w:after="120"/>
        <w:ind w:right="-22"/>
        <w:jc w:val="both"/>
        <w:rPr>
          <w:rFonts w:ascii="Arial Narrow" w:hAnsi="Arial Narrow"/>
          <w:b/>
          <w:bCs/>
          <w:sz w:val="23"/>
          <w:szCs w:val="23"/>
          <w:lang w:eastAsia="tr-TR"/>
        </w:rPr>
      </w:pPr>
      <w:r w:rsidRPr="00EC42C7">
        <w:rPr>
          <w:rFonts w:ascii="Arial Narrow" w:hAnsi="Arial Narrow"/>
          <w:b/>
          <w:bCs/>
          <w:sz w:val="23"/>
          <w:szCs w:val="23"/>
          <w:lang w:eastAsia="tr-TR"/>
        </w:rPr>
        <w:t xml:space="preserve">Bu açıklamalar ışığında, </w:t>
      </w:r>
      <w:r>
        <w:rPr>
          <w:rFonts w:ascii="Arial Narrow" w:hAnsi="Arial Narrow"/>
          <w:b/>
          <w:bCs/>
          <w:sz w:val="23"/>
          <w:szCs w:val="23"/>
          <w:lang w:eastAsia="tr-TR"/>
        </w:rPr>
        <w:t>Yargıtay’ın Cemaati</w:t>
      </w:r>
      <w:r w:rsidRPr="00EC42C7">
        <w:rPr>
          <w:rFonts w:ascii="Arial Narrow" w:hAnsi="Arial Narrow"/>
          <w:b/>
          <w:bCs/>
          <w:sz w:val="23"/>
          <w:szCs w:val="23"/>
          <w:lang w:eastAsia="tr-TR"/>
        </w:rPr>
        <w:t xml:space="preserve"> silahlı örgüt olarak kabul</w:t>
      </w:r>
      <w:r>
        <w:rPr>
          <w:rFonts w:ascii="Arial Narrow" w:hAnsi="Arial Narrow"/>
          <w:b/>
          <w:bCs/>
          <w:sz w:val="23"/>
          <w:szCs w:val="23"/>
          <w:lang w:eastAsia="tr-TR"/>
        </w:rPr>
        <w:t xml:space="preserve"> ettiği ilk kararının (Başer kararı)</w:t>
      </w:r>
      <w:r>
        <w:rPr>
          <w:rStyle w:val="DipnotBavurusu"/>
          <w:b/>
          <w:bCs/>
          <w:sz w:val="23"/>
          <w:szCs w:val="23"/>
          <w:lang w:eastAsia="tr-TR"/>
        </w:rPr>
        <w:footnoteReference w:id="29"/>
      </w:r>
      <w:r w:rsidRPr="00EC42C7">
        <w:rPr>
          <w:rFonts w:ascii="Arial Narrow" w:hAnsi="Arial Narrow"/>
          <w:b/>
          <w:bCs/>
          <w:sz w:val="23"/>
          <w:szCs w:val="23"/>
          <w:lang w:eastAsia="tr-TR"/>
        </w:rPr>
        <w:t xml:space="preserve"> il</w:t>
      </w:r>
      <w:r>
        <w:rPr>
          <w:rFonts w:ascii="Arial Narrow" w:hAnsi="Arial Narrow"/>
          <w:b/>
          <w:bCs/>
          <w:sz w:val="23"/>
          <w:szCs w:val="23"/>
          <w:lang w:eastAsia="tr-TR"/>
        </w:rPr>
        <w:t>gili</w:t>
      </w:r>
      <w:r w:rsidRPr="00EC42C7">
        <w:rPr>
          <w:rFonts w:ascii="Arial Narrow" w:hAnsi="Arial Narrow"/>
          <w:b/>
          <w:bCs/>
          <w:sz w:val="23"/>
          <w:szCs w:val="23"/>
          <w:lang w:eastAsia="tr-TR"/>
        </w:rPr>
        <w:t xml:space="preserve"> kısmını değerlendirmek gerekirse;</w:t>
      </w:r>
    </w:p>
    <w:p w14:paraId="3FBD69E3" w14:textId="77777777" w:rsidR="00D7125A" w:rsidRPr="006A31E8" w:rsidRDefault="00D7125A" w:rsidP="00D7125A">
      <w:pPr>
        <w:spacing w:after="120"/>
        <w:ind w:right="-22"/>
        <w:jc w:val="both"/>
        <w:rPr>
          <w:rFonts w:ascii="Arial Narrow" w:hAnsi="Arial Narrow"/>
          <w:b/>
          <w:bCs/>
          <w:sz w:val="23"/>
          <w:szCs w:val="23"/>
          <w:lang w:eastAsia="tr-TR"/>
        </w:rPr>
      </w:pPr>
      <w:r>
        <w:rPr>
          <w:rFonts w:ascii="Arial Narrow" w:hAnsi="Arial Narrow"/>
          <w:sz w:val="23"/>
          <w:szCs w:val="23"/>
        </w:rPr>
        <w:t>Yargıtay Ceza Genel Kurulu (</w:t>
      </w:r>
      <w:r w:rsidRPr="00EC42C7">
        <w:rPr>
          <w:rFonts w:ascii="Arial Narrow" w:hAnsi="Arial Narrow"/>
          <w:sz w:val="23"/>
          <w:szCs w:val="23"/>
        </w:rPr>
        <w:t>CGK</w:t>
      </w:r>
      <w:r>
        <w:rPr>
          <w:rFonts w:ascii="Arial Narrow" w:hAnsi="Arial Narrow"/>
          <w:sz w:val="23"/>
          <w:szCs w:val="23"/>
        </w:rPr>
        <w:t>)</w:t>
      </w:r>
      <w:r w:rsidRPr="00EC42C7">
        <w:rPr>
          <w:rFonts w:ascii="Arial Narrow" w:hAnsi="Arial Narrow"/>
          <w:sz w:val="23"/>
          <w:szCs w:val="23"/>
        </w:rPr>
        <w:t xml:space="preserve"> kararında, </w:t>
      </w:r>
      <w:r>
        <w:rPr>
          <w:rFonts w:ascii="Arial Narrow" w:hAnsi="Arial Narrow"/>
          <w:sz w:val="23"/>
          <w:szCs w:val="23"/>
        </w:rPr>
        <w:t>Cemaatin</w:t>
      </w:r>
      <w:r w:rsidRPr="00EC42C7">
        <w:rPr>
          <w:rFonts w:ascii="Arial Narrow" w:hAnsi="Arial Narrow"/>
          <w:sz w:val="23"/>
          <w:szCs w:val="23"/>
        </w:rPr>
        <w:t xml:space="preserve"> </w:t>
      </w:r>
      <w:r w:rsidRPr="00EC42C7">
        <w:rPr>
          <w:rFonts w:ascii="Arial Narrow" w:hAnsi="Arial Narrow"/>
          <w:i/>
          <w:sz w:val="23"/>
          <w:szCs w:val="23"/>
        </w:rPr>
        <w:t>“Türkiye Cumhuriyeti Devleti'nin tüm anayasal kurumlarını ele geçirme amacı taşıyan bir silahlı terör örgütü”</w:t>
      </w:r>
      <w:r w:rsidRPr="00EC42C7">
        <w:rPr>
          <w:rFonts w:ascii="Arial Narrow" w:hAnsi="Arial Narrow"/>
          <w:sz w:val="23"/>
          <w:szCs w:val="23"/>
        </w:rPr>
        <w:t xml:space="preserve"> olduğu belirtilmiş ve bu kabul yapılırken şöyle denilmiştir; </w:t>
      </w:r>
      <w:r w:rsidRPr="00EC42C7">
        <w:rPr>
          <w:rFonts w:ascii="Arial Narrow" w:hAnsi="Arial Narrow"/>
          <w:i/>
          <w:sz w:val="23"/>
          <w:szCs w:val="23"/>
        </w:rPr>
        <w:t xml:space="preserve">"Emniyet Genel Müdürlüğü kadrolarının etkin birimlerinde ve TSK'da yapılanan FETÖ/PDY, Emniyet ve TSK birimlerinin doğasında var olan cebir ve şiddet kullanma yetkisinin verdiği baskı ve korkutuculuğu kullanmaktadır. Örgüt mensuplarının silahlar </w:t>
      </w:r>
      <w:r w:rsidRPr="00EC42C7">
        <w:rPr>
          <w:rFonts w:ascii="Arial Narrow" w:hAnsi="Arial Narrow"/>
          <w:i/>
          <w:sz w:val="23"/>
          <w:szCs w:val="23"/>
        </w:rPr>
        <w:lastRenderedPageBreak/>
        <w:t>üzerinde gerektiğinde tasarruf imkanının bulunması, silahlı terör örgütü suçunun oluşması için gerekli ve yeterli olmakla birlikte; 15.07.2016 tarihinde meydana gelen kalkışma esnasında TSK içerisinde yapılanıp görünürde TSK mensubu olan ve ancak örgüt liderinin emir ve talimatlarıyla hareket eden örgüt mensuplarınca silah kullanılmış, birçok sivil vatandaş ve kamu görevlisi şehit edilmiştir.</w:t>
      </w:r>
    </w:p>
    <w:p w14:paraId="6093F178" w14:textId="77777777" w:rsidR="00D7125A" w:rsidRPr="00EC42C7" w:rsidRDefault="00D7125A" w:rsidP="00D7125A">
      <w:pPr>
        <w:spacing w:after="120"/>
        <w:ind w:right="-22"/>
        <w:jc w:val="both"/>
        <w:rPr>
          <w:rFonts w:ascii="Arial Narrow" w:hAnsi="Arial Narrow"/>
          <w:i/>
          <w:sz w:val="23"/>
          <w:szCs w:val="23"/>
        </w:rPr>
      </w:pPr>
      <w:r w:rsidRPr="00EC42C7">
        <w:rPr>
          <w:rFonts w:ascii="Arial Narrow" w:hAnsi="Arial Narrow"/>
          <w:i/>
          <w:sz w:val="23"/>
          <w:szCs w:val="23"/>
        </w:rPr>
        <w:t>“…amacının Anayasada öngörülen meşru yöntemlerle iktidara gelmek olmayıp örgütün yarattığı kaos ortamı sonucu, demokratik olmayan yöntemlerle cebir şiddet kullanmak suretiyle parlamento, hükümet ve diğer anayasal kurumları feshedip iktidarı ele geçirmek olduğu, bu amaçla, Emniyet, Jandarma teşkilatı, MİT ve Genel Kurmay Başkanlığı gibi kuvvet kullanma yetkisini haiz kurumlara sızan mensupları vasıtasıyla, kendisinden olmayan güvenlik güçlerine, kamu görevlilerine, halka, Cumhurbaşkanlığı Külliyesi, Meclis binası gibi simge binalar ve birçok kamu binasına karşı ağır silahlarla saldırıda bulunmak suretiyle amaç suçu gerçekleştirmeye elverişli öldürme ve yaralama gibi çok sayıda vahim eylem gerçekleştirildiği, anılan örgüt mensupları hakkında 15 Temmuz darbe girişiminden ya da örgüt faaliyetleri kapsamında işlenen diğer bir kısım eylemlere ilişkin bir kısmı derdest olan ya da mahkemelerce karara bağlanan davalar, bu davalarda dinlenen itirafçı sanıkların savunmaları ve gizli-açık tanık anlatımları, bu davalarda verilen mahkeme kararları, örgüt lider ve yöneticilerinin açık kaynaklardaki yazılı ve sözlü açıklamaları, Emniyet Genel Müdürlüğünün örgüt hakkındaki raporu gibi olgu ve tespitler dikkate alındığında;"</w:t>
      </w:r>
    </w:p>
    <w:p w14:paraId="26A377CA" w14:textId="77777777" w:rsidR="00D7125A" w:rsidRPr="00EC42C7" w:rsidRDefault="00D7125A" w:rsidP="00D7125A">
      <w:pPr>
        <w:spacing w:after="120"/>
        <w:ind w:right="-22"/>
        <w:jc w:val="both"/>
        <w:rPr>
          <w:rFonts w:ascii="Arial Narrow" w:hAnsi="Arial Narrow"/>
          <w:i/>
          <w:sz w:val="23"/>
          <w:szCs w:val="23"/>
        </w:rPr>
      </w:pPr>
      <w:r w:rsidRPr="00EC42C7">
        <w:rPr>
          <w:rFonts w:ascii="Arial Narrow" w:hAnsi="Arial Narrow"/>
          <w:i/>
          <w:sz w:val="23"/>
          <w:szCs w:val="23"/>
        </w:rPr>
        <w:t>"...tasarrufunda bulunan araç, gereç ve ağır harp silahları bakımından 5237 sayılı TCK'nun 314 üncü maddesinin birinci ve ikinci fıkraları kapsamında bir silahlı terör örgütü olduğu izahtan varestedir."</w:t>
      </w:r>
    </w:p>
    <w:p w14:paraId="68374923"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CGK, silahlı örgütün varlığı için cebir ve şiddet kullanımı zorunlu olmasına rağmen; </w:t>
      </w:r>
      <w:r w:rsidRPr="00EC42C7">
        <w:rPr>
          <w:rFonts w:ascii="Arial Narrow" w:hAnsi="Arial Narrow"/>
          <w:i/>
          <w:color w:val="auto"/>
          <w:sz w:val="23"/>
          <w:szCs w:val="23"/>
        </w:rPr>
        <w:t>“Emniyet ve TSK birimlerinin doğasında var olan cebir ve şiddet kullanma yetkisinin verdiği baskı ve korkutuculuk”</w:t>
      </w:r>
      <w:r w:rsidRPr="00EC42C7">
        <w:rPr>
          <w:rFonts w:ascii="Arial Narrow" w:hAnsi="Arial Narrow"/>
          <w:color w:val="auto"/>
          <w:sz w:val="23"/>
          <w:szCs w:val="23"/>
        </w:rPr>
        <w:t xml:space="preserve"> diyerek cebir ve şiddet olmasa bile böyle bir ihtimalin varlığını yeterli görmüştür. Aynı şekilde, silahlı örgütün </w:t>
      </w:r>
      <w:r w:rsidRPr="00EC42C7">
        <w:rPr>
          <w:rFonts w:ascii="Arial Narrow" w:hAnsi="Arial Narrow"/>
          <w:i/>
          <w:color w:val="auto"/>
          <w:sz w:val="23"/>
          <w:szCs w:val="23"/>
        </w:rPr>
        <w:t>“baskı, korkutma, yıldırma, sindirme veya tehdit yöntemlerinden birini”</w:t>
      </w:r>
      <w:r w:rsidRPr="00EC42C7">
        <w:rPr>
          <w:rFonts w:ascii="Arial Narrow" w:hAnsi="Arial Narrow"/>
          <w:color w:val="auto"/>
          <w:sz w:val="23"/>
          <w:szCs w:val="23"/>
        </w:rPr>
        <w:t xml:space="preserve"> uygulaması zorunlu iken, asker ve polisin var olan yetkisinin bu sonucu doğurduğunu belirterek yasanın hükmüne açıkça aykırı bir değerlendirmede bulunmuştur.</w:t>
      </w:r>
    </w:p>
    <w:p w14:paraId="2BFDABDE"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Yine, silahlı örgüt için zorunlu olan silah kullanımı için </w:t>
      </w:r>
      <w:r w:rsidRPr="00EC42C7">
        <w:rPr>
          <w:rFonts w:ascii="Arial Narrow" w:hAnsi="Arial Narrow"/>
          <w:i/>
          <w:color w:val="auto"/>
          <w:sz w:val="23"/>
          <w:szCs w:val="23"/>
        </w:rPr>
        <w:t>“örgüt mensuplarının silahlar üzerinde gerektiğinde tasarruf imkanının bulunması yeterli”</w:t>
      </w:r>
      <w:r w:rsidRPr="00EC42C7">
        <w:rPr>
          <w:rFonts w:ascii="Arial Narrow" w:hAnsi="Arial Narrow"/>
          <w:color w:val="auto"/>
          <w:sz w:val="23"/>
          <w:szCs w:val="23"/>
        </w:rPr>
        <w:t xml:space="preserve"> denilerek, silah kullanım zorunluluğu göz ardı edilmiş ve silah kullanma ihtimalinin bulunması yeterli görmüştür. Yani </w:t>
      </w:r>
      <w:r>
        <w:rPr>
          <w:rFonts w:ascii="Arial Narrow" w:hAnsi="Arial Narrow"/>
          <w:color w:val="auto"/>
          <w:sz w:val="23"/>
          <w:szCs w:val="23"/>
        </w:rPr>
        <w:t>cemaatin</w:t>
      </w:r>
      <w:r w:rsidRPr="00EC42C7">
        <w:rPr>
          <w:rFonts w:ascii="Arial Narrow" w:hAnsi="Arial Narrow"/>
          <w:color w:val="auto"/>
          <w:sz w:val="23"/>
          <w:szCs w:val="23"/>
        </w:rPr>
        <w:t xml:space="preserve"> silahlı örgüt olarak kabulünde, bu yapılanma tarafından cebir ve şiddet, baskı, korkutma, yıldırma, sindirme veya tehdit yöntemlerinden birinin ve silah kullanılması yasal zorunluluk olmasına rağmen, kullanılma ihtimalinin varlığı yeterli görmüştür. </w:t>
      </w:r>
    </w:p>
    <w:p w14:paraId="3DB7298F"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Ayrıca, </w:t>
      </w:r>
      <w:r>
        <w:rPr>
          <w:rFonts w:ascii="Arial Narrow" w:hAnsi="Arial Narrow"/>
          <w:color w:val="auto"/>
          <w:sz w:val="23"/>
          <w:szCs w:val="23"/>
        </w:rPr>
        <w:t>Cemaatin</w:t>
      </w:r>
      <w:r w:rsidRPr="00EC42C7">
        <w:rPr>
          <w:rFonts w:ascii="Arial Narrow" w:hAnsi="Arial Narrow"/>
          <w:color w:val="auto"/>
          <w:sz w:val="23"/>
          <w:szCs w:val="23"/>
        </w:rPr>
        <w:t xml:space="preserve"> Emniyet ve TSK'da yapılandığını ve zorunlu olan bu üç unsurun asker ve polisin doğasında var olan cebir ve şiddet ve silah kullanma yetkisinden kaynaklandığı kabul edilmiştir. Oysa ki karar tarihi itibarıyla </w:t>
      </w:r>
      <w:r w:rsidRPr="00EC42C7">
        <w:rPr>
          <w:rFonts w:ascii="Arial Narrow" w:hAnsi="Arial Narrow"/>
          <w:i/>
          <w:color w:val="auto"/>
          <w:sz w:val="23"/>
          <w:szCs w:val="23"/>
        </w:rPr>
        <w:t xml:space="preserve">“bu örgütün üyesi olduğu kabul edilen ve cebir şiddet ya da silah kullanarak eylem yapan ve hakkında kesinleşmiş mahkumiyet kararı bulunan Emniyet veya Türk Silahlı Kuvvetleri mensubu” </w:t>
      </w:r>
      <w:r w:rsidRPr="00EC42C7">
        <w:rPr>
          <w:rFonts w:ascii="Arial Narrow" w:hAnsi="Arial Narrow"/>
          <w:color w:val="auto"/>
          <w:sz w:val="23"/>
          <w:szCs w:val="23"/>
        </w:rPr>
        <w:t xml:space="preserve">bulunmamaktadır. </w:t>
      </w:r>
    </w:p>
    <w:p w14:paraId="36C2187C"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Aslında zorunlu olan bu üç unsurun gerçekleşmediğinin farkında olan CGK </w:t>
      </w:r>
      <w:r w:rsidRPr="00EC42C7">
        <w:rPr>
          <w:rFonts w:ascii="Arial Narrow" w:hAnsi="Arial Narrow"/>
          <w:i/>
          <w:color w:val="auto"/>
          <w:sz w:val="23"/>
          <w:szCs w:val="23"/>
        </w:rPr>
        <w:t>“15.07.2016 tarihinde örgüt mensuplarınca silah kullanılmış, birçok sivil vatandaş ve kamu görevlisi şehit edilmiştir"</w:t>
      </w:r>
      <w:r w:rsidRPr="00EC42C7">
        <w:rPr>
          <w:rFonts w:ascii="Arial Narrow" w:hAnsi="Arial Narrow"/>
          <w:color w:val="auto"/>
          <w:sz w:val="23"/>
          <w:szCs w:val="23"/>
        </w:rPr>
        <w:t xml:space="preserve"> ifadesini karara ekleyerek, 15/7/2016 tarihli olayları da esas aldığını açıkça ortaya koymuştur. Ancak, CGK’nın silahlı örgüt kabulünde 15/7/2016 tarihinde gerçekleşen eylemleri esas alması hukuken mümkün değildir. Zira ceza yargılaması suç tarihi esas alınarak yapılır ve iddia edilen suçun oluşup oluşmadığı suç tarihi itibarıyla değerlendirilir. Karara konu silahlı örgüt üyeliği suçu bakımından suç tarihleri 30/04/2015 ve 01/05/2015'dir. Dava tarihi ise 18/11/2015'dir ve bu tarihlerden sonra gerçekleşen olaylar hükme esas alınamaz. </w:t>
      </w:r>
    </w:p>
    <w:p w14:paraId="4F32161A" w14:textId="77777777" w:rsidR="00D7125A" w:rsidRPr="00EC42C7" w:rsidRDefault="00D7125A" w:rsidP="00D7125A">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CMK'nın kabul ettiği sisteme göre mahkemece ilk oturumda hüküm verilmesi esastır. Mahkemece ilk oturumda karar verilmiş olsaydı 15/7/2016 tarihli olaylar hükme esas alınamayacaktı. Aynı şekilde, yargılamanın uzaması nedeniyle suç tarihinden sonra gerçekleşen olayların da hükme esas alınması mümkün değildir. Ayrıca, CGK'nın karar tarihinde 15/7/2016 tarihli </w:t>
      </w:r>
      <w:r w:rsidRPr="00EC42C7">
        <w:rPr>
          <w:rFonts w:ascii="Arial Narrow" w:hAnsi="Arial Narrow"/>
          <w:i/>
          <w:color w:val="auto"/>
          <w:sz w:val="23"/>
          <w:szCs w:val="23"/>
        </w:rPr>
        <w:t>"matuf eylem yargılamalarının"</w:t>
      </w:r>
      <w:r w:rsidRPr="00EC42C7">
        <w:rPr>
          <w:rFonts w:ascii="Arial Narrow" w:hAnsi="Arial Narrow"/>
          <w:color w:val="auto"/>
          <w:sz w:val="23"/>
          <w:szCs w:val="23"/>
        </w:rPr>
        <w:t xml:space="preserve"> bir kısmı devam etmektedir ve bir kısmı hakkında hüküm verilse bile bunlar kesinleşmemiştir. CGK, derdest olan davaları sanki kesinleşmiş gibi kararına esas alarak </w:t>
      </w:r>
      <w:r w:rsidRPr="00EC42C7">
        <w:rPr>
          <w:rFonts w:ascii="Arial Narrow" w:hAnsi="Arial Narrow"/>
          <w:i/>
          <w:color w:val="auto"/>
          <w:sz w:val="23"/>
          <w:szCs w:val="23"/>
        </w:rPr>
        <w:t>“15 Temmuz vahim eylemlerinin”</w:t>
      </w:r>
      <w:r w:rsidRPr="00EC42C7">
        <w:rPr>
          <w:rFonts w:ascii="Arial Narrow" w:hAnsi="Arial Narrow"/>
          <w:color w:val="auto"/>
          <w:sz w:val="23"/>
          <w:szCs w:val="23"/>
        </w:rPr>
        <w:t xml:space="preserve"> bu yapılanma tarafından gerçekleştirildiğini kabul etmiş ve yine </w:t>
      </w:r>
      <w:r w:rsidRPr="00EC42C7">
        <w:rPr>
          <w:rFonts w:ascii="Arial Narrow" w:hAnsi="Arial Narrow"/>
          <w:i/>
          <w:color w:val="auto"/>
          <w:sz w:val="23"/>
          <w:szCs w:val="23"/>
        </w:rPr>
        <w:t xml:space="preserve">“15.07.2016 tarihli darbe teşebbüsünü gerçekleştiren, pek çok insanın ölümüne ve yaralanmasına sebebiyet verip, bir çok ağır suçu organize şekilde işleyen </w:t>
      </w:r>
      <w:r w:rsidRPr="00EC42C7">
        <w:rPr>
          <w:rFonts w:ascii="Arial Narrow" w:hAnsi="Arial Narrow"/>
          <w:i/>
          <w:color w:val="auto"/>
          <w:sz w:val="23"/>
          <w:szCs w:val="23"/>
        </w:rPr>
        <w:lastRenderedPageBreak/>
        <w:t>FETÖ/PDY silahlı terör örgütü”</w:t>
      </w:r>
      <w:r w:rsidRPr="00EC42C7">
        <w:rPr>
          <w:rFonts w:ascii="Arial Narrow" w:hAnsi="Arial Narrow"/>
          <w:color w:val="auto"/>
          <w:sz w:val="23"/>
          <w:szCs w:val="23"/>
        </w:rPr>
        <w:t xml:space="preserve"> diyerek 15/7/2016 tarihli vahim eylem yargılamalarındaki sanıkları ve bu yapılanmayı peşinen mahkum etmiştir. CGK gibi bir merciinin hukukun en temel ilkesi olan masumiyet karinesi ihlal ederek varsayım ve önyargıyla karar vermesi büyük bir talihsizliktir. Kaldı ki 16. Ceza Dairesi bile kararında bu hususu açıkça kabul eden ifadelerden kaçınmıştır. </w:t>
      </w:r>
    </w:p>
    <w:p w14:paraId="4F86C11B" w14:textId="77777777" w:rsidR="00D7125A" w:rsidRPr="00EC42C7" w:rsidRDefault="00D7125A" w:rsidP="00D7125A">
      <w:pPr>
        <w:spacing w:after="120"/>
        <w:ind w:right="-22"/>
        <w:jc w:val="both"/>
        <w:rPr>
          <w:rFonts w:ascii="Arial Narrow" w:hAnsi="Arial Narrow"/>
          <w:sz w:val="23"/>
          <w:szCs w:val="23"/>
        </w:rPr>
      </w:pPr>
      <w:r w:rsidRPr="00EC42C7">
        <w:rPr>
          <w:rFonts w:ascii="Arial Narrow" w:hAnsi="Arial Narrow"/>
          <w:sz w:val="23"/>
          <w:szCs w:val="23"/>
        </w:rPr>
        <w:t xml:space="preserve">Gerek 16. Ceza Dairesi ve gerek CGK kararında 15/7/2016 tarihli eylemler dışında bu yapılanma tarafından gerçekleştirilen </w:t>
      </w:r>
      <w:r w:rsidRPr="00EC42C7">
        <w:rPr>
          <w:rFonts w:ascii="Arial Narrow" w:hAnsi="Arial Narrow"/>
          <w:i/>
          <w:sz w:val="23"/>
          <w:szCs w:val="23"/>
        </w:rPr>
        <w:t>“matuf”</w:t>
      </w:r>
      <w:r w:rsidRPr="00EC42C7">
        <w:rPr>
          <w:rFonts w:ascii="Arial Narrow" w:hAnsi="Arial Narrow"/>
          <w:sz w:val="23"/>
          <w:szCs w:val="23"/>
        </w:rPr>
        <w:t xml:space="preserve">, </w:t>
      </w:r>
      <w:r w:rsidRPr="00EC42C7">
        <w:rPr>
          <w:rFonts w:ascii="Arial Narrow" w:hAnsi="Arial Narrow"/>
          <w:i/>
          <w:sz w:val="23"/>
          <w:szCs w:val="23"/>
        </w:rPr>
        <w:t>“silahlı”</w:t>
      </w:r>
      <w:r w:rsidRPr="00EC42C7">
        <w:rPr>
          <w:rFonts w:ascii="Arial Narrow" w:hAnsi="Arial Narrow"/>
          <w:sz w:val="23"/>
          <w:szCs w:val="23"/>
        </w:rPr>
        <w:t xml:space="preserve"> veya </w:t>
      </w:r>
      <w:r w:rsidRPr="00EC42C7">
        <w:rPr>
          <w:rFonts w:ascii="Arial Narrow" w:hAnsi="Arial Narrow"/>
          <w:i/>
          <w:sz w:val="23"/>
          <w:szCs w:val="23"/>
        </w:rPr>
        <w:t>“cebir şiddet içeren”</w:t>
      </w:r>
      <w:r w:rsidRPr="00EC42C7">
        <w:rPr>
          <w:rFonts w:ascii="Arial Narrow" w:hAnsi="Arial Narrow"/>
          <w:sz w:val="23"/>
          <w:szCs w:val="23"/>
        </w:rPr>
        <w:t xml:space="preserve"> hiç bir eylem gösterilmediği gibi söz konusu yapının </w:t>
      </w:r>
      <w:r w:rsidRPr="00EC42C7">
        <w:rPr>
          <w:rFonts w:ascii="Arial Narrow" w:hAnsi="Arial Narrow"/>
          <w:i/>
          <w:sz w:val="23"/>
          <w:szCs w:val="23"/>
        </w:rPr>
        <w:t>“hukuki görünümlü hukuk dışı yöntemler”</w:t>
      </w:r>
      <w:r w:rsidRPr="00EC42C7">
        <w:rPr>
          <w:rFonts w:ascii="Arial Narrow" w:hAnsi="Arial Narrow"/>
          <w:sz w:val="23"/>
          <w:szCs w:val="23"/>
        </w:rPr>
        <w:t xml:space="preserve"> kullandığı belirtilmiştir. Ancak, silahlı örgütler aynı zamanda suç örgütü ve terör örgütü olduklarından, her ikisinin zorunlu unsurlarını bünyesinde barındırmalıdır. Yani silahlı örgüt kabulünde; suç tarihi itibarıyla TCK’nın 220. maddesindeki suç örgütü ve TMK’nın 7/1. maddesindeki terör örgütünün unsurları ile birlikte TCK’nın 314. maddesindeki unsurların bir arada bulunduğunun kararda gösterilmesi gerekir. Başka bir ifadeyle, örgütün amacı ve amaç suçu, dolayısıyla TCK'nın 302, 309, 311 ve 312. maddelerindeki suçlardan birini işlemek üzere bir araya gelindiği, en az üç kişiden oluştuğu, hiyerarşik yapısı, elverişli olduğu, temadi ettiği, cebir ve şiddet kullandığı, baskı, korkutma, yıldırma, sindirme veya tehdit yöntemlerinden birini uyguladığı, suç işlediği, silahlı olduğu, vahim eylemi ve matuf suçu, kısaca tüm unsurları tamamlanmış bir yapılanma olduğu kararda tespit edilmelidir. </w:t>
      </w:r>
    </w:p>
    <w:p w14:paraId="7FAB0498" w14:textId="77777777" w:rsidR="00D7125A" w:rsidRPr="00EC42C7" w:rsidRDefault="00D7125A" w:rsidP="00D7125A">
      <w:pPr>
        <w:spacing w:after="120"/>
        <w:ind w:right="-22"/>
        <w:jc w:val="both"/>
        <w:rPr>
          <w:rFonts w:ascii="Arial Narrow" w:hAnsi="Arial Narrow"/>
          <w:sz w:val="23"/>
          <w:szCs w:val="23"/>
        </w:rPr>
      </w:pPr>
      <w:r w:rsidRPr="00EC42C7">
        <w:rPr>
          <w:rFonts w:ascii="Arial Narrow" w:hAnsi="Arial Narrow"/>
          <w:sz w:val="23"/>
          <w:szCs w:val="23"/>
        </w:rPr>
        <w:t xml:space="preserve">Ancak CGK kararında, silahlı örgüt için cebir-şiddet ve silah kullanılması zorunlu olmasına rağmen, kullanılma </w:t>
      </w:r>
      <w:r w:rsidRPr="00EC42C7">
        <w:rPr>
          <w:rFonts w:ascii="Arial Narrow" w:hAnsi="Arial Narrow"/>
          <w:i/>
          <w:sz w:val="23"/>
          <w:szCs w:val="23"/>
        </w:rPr>
        <w:t>“ihtimali”</w:t>
      </w:r>
      <w:r w:rsidRPr="00EC42C7">
        <w:rPr>
          <w:rFonts w:ascii="Arial Narrow" w:hAnsi="Arial Narrow"/>
          <w:sz w:val="23"/>
          <w:szCs w:val="23"/>
        </w:rPr>
        <w:t xml:space="preserve"> yeterli kabul edilmiş, bu yapılanma tarafından </w:t>
      </w:r>
      <w:r w:rsidRPr="00EC42C7">
        <w:rPr>
          <w:rFonts w:ascii="Arial Narrow" w:hAnsi="Arial Narrow"/>
          <w:i/>
          <w:sz w:val="23"/>
          <w:szCs w:val="23"/>
        </w:rPr>
        <w:t>“suç işlendiğine”</w:t>
      </w:r>
      <w:r w:rsidRPr="00EC42C7">
        <w:rPr>
          <w:rFonts w:ascii="Arial Narrow" w:hAnsi="Arial Narrow"/>
          <w:sz w:val="23"/>
          <w:szCs w:val="23"/>
        </w:rPr>
        <w:t xml:space="preserve"> dair kesinleşmiş bir yargı kararına ve örgütün </w:t>
      </w:r>
      <w:r w:rsidRPr="00EC42C7">
        <w:rPr>
          <w:rFonts w:ascii="Arial Narrow" w:hAnsi="Arial Narrow"/>
          <w:i/>
          <w:sz w:val="23"/>
          <w:szCs w:val="23"/>
        </w:rPr>
        <w:t>“silah-suç-elverişlilik”</w:t>
      </w:r>
      <w:r w:rsidRPr="00EC42C7">
        <w:rPr>
          <w:rFonts w:ascii="Arial Narrow" w:hAnsi="Arial Narrow"/>
          <w:sz w:val="23"/>
          <w:szCs w:val="23"/>
        </w:rPr>
        <w:t xml:space="preserve"> unsurlarını gösteren </w:t>
      </w:r>
      <w:r w:rsidRPr="00EC42C7">
        <w:rPr>
          <w:rFonts w:ascii="Arial Narrow" w:hAnsi="Arial Narrow"/>
          <w:i/>
          <w:sz w:val="23"/>
          <w:szCs w:val="23"/>
        </w:rPr>
        <w:t>“matuf”</w:t>
      </w:r>
      <w:r w:rsidRPr="00EC42C7">
        <w:rPr>
          <w:rFonts w:ascii="Arial Narrow" w:hAnsi="Arial Narrow"/>
          <w:sz w:val="23"/>
          <w:szCs w:val="23"/>
        </w:rPr>
        <w:t xml:space="preserve"> herhangi bir eylemine yer verilmemiştir.</w:t>
      </w:r>
    </w:p>
    <w:p w14:paraId="5EDC289D" w14:textId="77777777" w:rsidR="00D7125A" w:rsidRPr="00EC42C7" w:rsidRDefault="00D7125A" w:rsidP="00D7125A">
      <w:pPr>
        <w:spacing w:after="120"/>
        <w:ind w:right="-22"/>
        <w:jc w:val="both"/>
        <w:rPr>
          <w:rFonts w:ascii="Arial Narrow" w:hAnsi="Arial Narrow"/>
          <w:sz w:val="23"/>
          <w:szCs w:val="23"/>
        </w:rPr>
      </w:pPr>
      <w:r w:rsidRPr="00EC42C7">
        <w:rPr>
          <w:rFonts w:ascii="Arial Narrow" w:hAnsi="Arial Narrow"/>
          <w:sz w:val="23"/>
          <w:szCs w:val="23"/>
        </w:rPr>
        <w:t xml:space="preserve">CGK aslında bu zorunlu unsurların suç tarihi itibarıyla bu yapılanmada bulunmadığının farkındadır. Zira kararda, suç tarihi itibariyle mevcut delillerin yeterli olduğu belirtilmesine rağmen, sık sık 15/7/2016 tarihli olayların da bu yapılanma tarafından gerçekleştirildiğine ve </w:t>
      </w:r>
      <w:r w:rsidRPr="00EC42C7">
        <w:rPr>
          <w:rFonts w:ascii="Arial Narrow" w:hAnsi="Arial Narrow"/>
          <w:i/>
          <w:sz w:val="23"/>
          <w:szCs w:val="23"/>
        </w:rPr>
        <w:t>“yeterli olmakla birlikte; 15.07.2016 tarihinde örgüt mensuplarınca silah kullanılmış, birçok sivil vatandaş ve kamu görevlisi şehit edilmiştir"</w:t>
      </w:r>
      <w:r w:rsidRPr="00EC42C7">
        <w:rPr>
          <w:rFonts w:ascii="Arial Narrow" w:hAnsi="Arial Narrow"/>
          <w:sz w:val="23"/>
          <w:szCs w:val="23"/>
        </w:rPr>
        <w:t xml:space="preserve"> gibi ifadelere yer verilmiştir. Yine, CGK bu yapılanmanın amacı gerçekleştirmeye elverişli olduğunu ve amaca yönelik matuf eylem gerçekleştirdiğini kabul etmesine rağmen, </w:t>
      </w:r>
      <w:r w:rsidRPr="00EC42C7">
        <w:rPr>
          <w:rFonts w:ascii="Arial Narrow" w:hAnsi="Arial Narrow"/>
          <w:i/>
          <w:sz w:val="23"/>
          <w:szCs w:val="23"/>
        </w:rPr>
        <w:t>“halka, Cumhurbaşkanlığı Külliyesi, Meclis binası gibi simge binalar ve birçok kamu binasına karşı ağır silahlarla saldırıda bulunmak suretiyle amaç suçu gerçekleştirmeye elverişli öldürme ve yaralama gibi çok sayıda vahim eylem gerçekleştirildiği”</w:t>
      </w:r>
      <w:r w:rsidRPr="00EC42C7">
        <w:rPr>
          <w:rFonts w:ascii="Arial Narrow" w:hAnsi="Arial Narrow"/>
          <w:sz w:val="23"/>
          <w:szCs w:val="23"/>
        </w:rPr>
        <w:t xml:space="preserve"> şeklindeki ifadelere yer vererek 15/7/2016 tarihli olayları esas aldığını ortaya koymuştur.  </w:t>
      </w:r>
    </w:p>
    <w:p w14:paraId="3F0EF05E" w14:textId="77777777" w:rsidR="00D7125A" w:rsidRPr="00EC42C7" w:rsidRDefault="00D7125A" w:rsidP="00D7125A">
      <w:pPr>
        <w:spacing w:after="120"/>
        <w:ind w:right="-22"/>
        <w:jc w:val="both"/>
        <w:rPr>
          <w:rFonts w:ascii="Arial Narrow" w:hAnsi="Arial Narrow"/>
          <w:sz w:val="23"/>
          <w:szCs w:val="23"/>
        </w:rPr>
      </w:pPr>
      <w:r w:rsidRPr="00EC42C7">
        <w:rPr>
          <w:rFonts w:ascii="Arial Narrow" w:hAnsi="Arial Narrow"/>
          <w:sz w:val="23"/>
          <w:szCs w:val="23"/>
        </w:rPr>
        <w:t xml:space="preserve">Tüm bunlar, suç tarihi itibariyle mevcut delillerin silahlı örgüt bakımından yetersizliğini CGK’nın da kabul ettiğini ve bu nedenle de silahlı örgüt kabulünde 15/7/2016 tarihli olayları esas aldığını göstermektedir. Oysaki bu eylemler, suç tarihinden sonra gerçekleştiği gibi yargılamaları da halen devam etmektedir. Başka bir deyişle, 15/7/2016 tarihli </w:t>
      </w:r>
      <w:r w:rsidRPr="00EC42C7">
        <w:rPr>
          <w:rFonts w:ascii="Arial Narrow" w:hAnsi="Arial Narrow"/>
          <w:i/>
          <w:sz w:val="23"/>
          <w:szCs w:val="23"/>
        </w:rPr>
        <w:t>“matuf eylemlerin”</w:t>
      </w:r>
      <w:r w:rsidRPr="00EC42C7">
        <w:rPr>
          <w:rFonts w:ascii="Arial Narrow" w:hAnsi="Arial Narrow"/>
          <w:sz w:val="23"/>
          <w:szCs w:val="23"/>
        </w:rPr>
        <w:t xml:space="preserve"> bu yapılanma tarafından gerçekleştirildiğine dair kesinleşmiş bir yargı kararı CGK’nın karar tarihi itibarıyla yoktur. Buna rağmen, CGK 15/7/2016 tarihli olayların </w:t>
      </w:r>
      <w:r>
        <w:rPr>
          <w:rFonts w:ascii="Arial Narrow" w:hAnsi="Arial Narrow"/>
          <w:sz w:val="23"/>
          <w:szCs w:val="23"/>
        </w:rPr>
        <w:t>cemaat</w:t>
      </w:r>
      <w:r w:rsidRPr="00EC42C7">
        <w:rPr>
          <w:rFonts w:ascii="Arial Narrow" w:hAnsi="Arial Narrow"/>
          <w:sz w:val="23"/>
          <w:szCs w:val="23"/>
        </w:rPr>
        <w:t xml:space="preserve"> tarafından gerçekleştirildiğini kararına yazabilmiştir.   </w:t>
      </w:r>
    </w:p>
    <w:p w14:paraId="3B281E1D" w14:textId="77777777" w:rsidR="00D7125A" w:rsidRPr="00EC42C7" w:rsidRDefault="00D7125A" w:rsidP="00D7125A">
      <w:pPr>
        <w:spacing w:after="120"/>
        <w:ind w:right="-22"/>
        <w:jc w:val="both"/>
        <w:rPr>
          <w:rFonts w:ascii="Arial Narrow" w:hAnsi="Arial Narrow"/>
          <w:sz w:val="23"/>
          <w:szCs w:val="23"/>
        </w:rPr>
      </w:pPr>
      <w:r>
        <w:rPr>
          <w:rFonts w:ascii="Arial Narrow" w:hAnsi="Arial Narrow"/>
          <w:sz w:val="23"/>
          <w:szCs w:val="23"/>
        </w:rPr>
        <w:t>S</w:t>
      </w:r>
      <w:r w:rsidRPr="00EC42C7">
        <w:rPr>
          <w:rFonts w:ascii="Arial Narrow" w:hAnsi="Arial Narrow"/>
          <w:sz w:val="23"/>
          <w:szCs w:val="23"/>
        </w:rPr>
        <w:t xml:space="preserve">ilahlı örgüt kabulü bir </w:t>
      </w:r>
      <w:r w:rsidRPr="00EC42C7">
        <w:rPr>
          <w:rFonts w:ascii="Arial Narrow" w:hAnsi="Arial Narrow"/>
          <w:i/>
          <w:sz w:val="23"/>
          <w:szCs w:val="23"/>
        </w:rPr>
        <w:t>“matuf eylem”</w:t>
      </w:r>
      <w:r w:rsidRPr="00EC42C7">
        <w:rPr>
          <w:rFonts w:ascii="Arial Narrow" w:hAnsi="Arial Narrow"/>
          <w:sz w:val="23"/>
          <w:szCs w:val="23"/>
        </w:rPr>
        <w:t xml:space="preserve"> yargılamasında verilecek mahkumiyet hükmü ile yapılabilir. Yargıtay 16. Ceza Dairesi bu dosyada matuf eylem yargılaması (Hükümete karşı suç-TCK md. 312) yapıp bu suçtan beraat kararı vermesine rağmen, silahlı örgüt kabulü yapmıştır. Ancak, yasa ve yerleşik Yargıtay içtihatları gereğince, matuf eylem yargılaması yapılmayan ve matuf suçtan mahkumiyet kararı verilmeyen yargılamalarda silahlı örgüt kabulü yapılamaz. Zira matuf eylem gerçekleştirildiği tespit edilemeyen yargılamalarda </w:t>
      </w:r>
      <w:r w:rsidRPr="00EC42C7">
        <w:rPr>
          <w:rFonts w:ascii="Arial Narrow" w:hAnsi="Arial Narrow"/>
          <w:i/>
          <w:sz w:val="23"/>
          <w:szCs w:val="23"/>
        </w:rPr>
        <w:t xml:space="preserve">"silahlı örgüt olduğu iddia edilen" </w:t>
      </w:r>
      <w:r w:rsidRPr="00EC42C7">
        <w:rPr>
          <w:rFonts w:ascii="Arial Narrow" w:hAnsi="Arial Narrow"/>
          <w:sz w:val="23"/>
          <w:szCs w:val="23"/>
        </w:rPr>
        <w:t xml:space="preserve">yapılanmanın </w:t>
      </w:r>
      <w:r w:rsidRPr="00EC42C7">
        <w:rPr>
          <w:rFonts w:ascii="Arial Narrow" w:hAnsi="Arial Narrow"/>
          <w:i/>
          <w:sz w:val="23"/>
          <w:szCs w:val="23"/>
        </w:rPr>
        <w:t>"amaca yöneldiği"</w:t>
      </w:r>
      <w:r w:rsidRPr="00EC42C7">
        <w:rPr>
          <w:rFonts w:ascii="Arial Narrow" w:hAnsi="Arial Narrow"/>
          <w:sz w:val="23"/>
          <w:szCs w:val="23"/>
        </w:rPr>
        <w:t xml:space="preserve">, </w:t>
      </w:r>
      <w:r w:rsidRPr="00EC42C7">
        <w:rPr>
          <w:rFonts w:ascii="Arial Narrow" w:hAnsi="Arial Narrow"/>
          <w:i/>
          <w:sz w:val="23"/>
          <w:szCs w:val="23"/>
        </w:rPr>
        <w:t>"elverişli"</w:t>
      </w:r>
      <w:r w:rsidRPr="00EC42C7">
        <w:rPr>
          <w:rFonts w:ascii="Arial Narrow" w:hAnsi="Arial Narrow"/>
          <w:sz w:val="23"/>
          <w:szCs w:val="23"/>
        </w:rPr>
        <w:t xml:space="preserve"> olduğu ve </w:t>
      </w:r>
      <w:r w:rsidRPr="00EC42C7">
        <w:rPr>
          <w:rFonts w:ascii="Arial Narrow" w:hAnsi="Arial Narrow"/>
          <w:i/>
          <w:sz w:val="23"/>
          <w:szCs w:val="23"/>
        </w:rPr>
        <w:t>"yakın ve ciddi tehlike oluşturduğu"</w:t>
      </w:r>
      <w:r w:rsidRPr="00EC42C7">
        <w:rPr>
          <w:rFonts w:ascii="Arial Narrow" w:hAnsi="Arial Narrow"/>
          <w:sz w:val="23"/>
          <w:szCs w:val="23"/>
        </w:rPr>
        <w:t xml:space="preserve"> hususları da tespit edilemez.</w:t>
      </w:r>
    </w:p>
    <w:p w14:paraId="0D1821D2" w14:textId="77777777" w:rsidR="00D7125A" w:rsidRPr="00EC42C7" w:rsidRDefault="00D7125A" w:rsidP="00D7125A">
      <w:pPr>
        <w:pStyle w:val="Default"/>
        <w:spacing w:after="120" w:line="276" w:lineRule="auto"/>
        <w:ind w:right="-22"/>
        <w:jc w:val="both"/>
        <w:rPr>
          <w:rFonts w:ascii="Arial Narrow" w:hAnsi="Arial Narrow"/>
          <w:sz w:val="23"/>
          <w:szCs w:val="23"/>
        </w:rPr>
      </w:pPr>
      <w:r w:rsidRPr="00EC42C7">
        <w:rPr>
          <w:rFonts w:ascii="Arial Narrow" w:hAnsi="Arial Narrow"/>
          <w:color w:val="auto"/>
          <w:sz w:val="23"/>
          <w:szCs w:val="23"/>
        </w:rPr>
        <w:t xml:space="preserve">CGK, silahlı örgüt kabulünde matuf eyleme dayanıp dayanmadığını açıkça belirtmemiştir. Kararda </w:t>
      </w:r>
      <w:r w:rsidRPr="00EC42C7">
        <w:rPr>
          <w:rFonts w:ascii="Arial Narrow" w:hAnsi="Arial Narrow"/>
          <w:i/>
          <w:color w:val="auto"/>
          <w:sz w:val="23"/>
          <w:szCs w:val="23"/>
        </w:rPr>
        <w:t>“matuf”</w:t>
      </w:r>
      <w:r w:rsidRPr="00EC42C7">
        <w:rPr>
          <w:rFonts w:ascii="Arial Narrow" w:hAnsi="Arial Narrow"/>
          <w:color w:val="auto"/>
          <w:sz w:val="23"/>
          <w:szCs w:val="23"/>
        </w:rPr>
        <w:t xml:space="preserve"> sayılabilecek türden gösterilen tek eylem 15/7/2016 tarihli olaylardır. Eğer, CGK silahlı örgüt kabulü için matuf eylemin gerekli olmadığını düşünüyorsa bu düşünce yasal değildir. Eğer, matuf eylem gereklidir ve 15/7/2016 tarihli eylemleri esas aldım derse bu da hukuken bu mümkün değildir.</w:t>
      </w:r>
      <w:r>
        <w:rPr>
          <w:rFonts w:ascii="Arial Narrow" w:hAnsi="Arial Narrow"/>
          <w:color w:val="auto"/>
          <w:sz w:val="23"/>
          <w:szCs w:val="23"/>
        </w:rPr>
        <w:t xml:space="preserve"> </w:t>
      </w:r>
      <w:r w:rsidRPr="00EC42C7">
        <w:rPr>
          <w:rFonts w:ascii="Arial Narrow" w:hAnsi="Arial Narrow"/>
          <w:sz w:val="23"/>
          <w:szCs w:val="23"/>
        </w:rPr>
        <w:t>Tüm bu açıklamalar ışığında; karara gerekçe yapılan tespitlerin, suç tarihinden sonra meydana gelen olaylar, devam eden idari soruşturmalar, kesinleşmeyen mahkeme kararları, kaynağı gösterilmeyen iddialar ve varsayımsal kabuller ile yapıldığı görülmektedir.</w:t>
      </w:r>
    </w:p>
    <w:p w14:paraId="71D61C40" w14:textId="77777777" w:rsidR="00D7125A" w:rsidRDefault="00D7125A" w:rsidP="00D7125A">
      <w:pPr>
        <w:spacing w:after="120"/>
        <w:jc w:val="both"/>
        <w:rPr>
          <w:rFonts w:ascii="Arial Narrow" w:hAnsi="Arial Narrow"/>
          <w:sz w:val="23"/>
          <w:szCs w:val="23"/>
        </w:rPr>
      </w:pPr>
      <w:r>
        <w:rPr>
          <w:rFonts w:ascii="Arial Narrow" w:hAnsi="Arial Narrow"/>
          <w:sz w:val="23"/>
          <w:szCs w:val="23"/>
        </w:rPr>
        <w:lastRenderedPageBreak/>
        <w:t xml:space="preserve">AİHM’in </w:t>
      </w:r>
      <w:r w:rsidRPr="00EC42C7">
        <w:rPr>
          <w:rFonts w:ascii="Arial Narrow" w:hAnsi="Arial Narrow"/>
          <w:sz w:val="23"/>
          <w:szCs w:val="23"/>
        </w:rPr>
        <w:t>Parmak ve Bakır</w:t>
      </w:r>
      <w:r>
        <w:rPr>
          <w:rFonts w:ascii="Arial Narrow" w:hAnsi="Arial Narrow"/>
          <w:sz w:val="23"/>
          <w:szCs w:val="23"/>
        </w:rPr>
        <w:t>/Tütkiye</w:t>
      </w:r>
      <w:r w:rsidRPr="00EC42C7">
        <w:rPr>
          <w:rFonts w:ascii="Arial Narrow" w:hAnsi="Arial Narrow"/>
          <w:sz w:val="23"/>
          <w:szCs w:val="23"/>
        </w:rPr>
        <w:t xml:space="preserve"> kararında</w:t>
      </w:r>
      <w:r>
        <w:rPr>
          <w:rStyle w:val="DipnotBavurusu"/>
          <w:sz w:val="23"/>
          <w:szCs w:val="23"/>
        </w:rPr>
        <w:footnoteReference w:id="30"/>
      </w:r>
      <w:r>
        <w:rPr>
          <w:rFonts w:ascii="Arial Narrow" w:hAnsi="Arial Narrow"/>
          <w:sz w:val="23"/>
          <w:szCs w:val="23"/>
        </w:rPr>
        <w:t xml:space="preserve"> </w:t>
      </w:r>
      <w:r w:rsidRPr="00EC42C7">
        <w:rPr>
          <w:rFonts w:ascii="Arial Narrow" w:hAnsi="Arial Narrow"/>
          <w:sz w:val="23"/>
          <w:szCs w:val="23"/>
        </w:rPr>
        <w:t>vurguladığı üzere, yerel mahkemelerin yasada olmayan kavramları genişleterek yorumlaması öngörülemezl</w:t>
      </w:r>
      <w:r>
        <w:rPr>
          <w:rFonts w:ascii="Arial Narrow" w:hAnsi="Arial Narrow"/>
          <w:sz w:val="23"/>
          <w:szCs w:val="23"/>
        </w:rPr>
        <w:t xml:space="preserve">iğe neden olmakta </w:t>
      </w:r>
      <w:r w:rsidRPr="00EC42C7">
        <w:rPr>
          <w:rFonts w:ascii="Arial Narrow" w:hAnsi="Arial Narrow"/>
          <w:sz w:val="23"/>
          <w:szCs w:val="23"/>
        </w:rPr>
        <w:t>ve bireylerin eylemlerini yasal çerçevede öngörmesini engellemektedir. Başer kararında CGK, yasada (TMK md. 1 ve 7, TCK md. 314) açıkça yer almayan "potansiyel cebir" kavramını (matuf eylem ihtimali) genişleterek kullanmakta olup, bu yorum fiili şiddet gerekliliğini "ihtimal" düzeyine indirgemektedir. Yalçınkaya §161'de AİHM'in kabul ettiği üzere, Yargıtay, cebir ve şiddet koşulunun "etkin güç ve şiddet kullanımı" anlamına gelmediğini, "güç ve şiddet kullanma riskinin varlığının yeterli olabileceğini" ve örgütün "yeterli silaha sahip olması veya erişim imkânına sahip olması" gerektiğini</w:t>
      </w:r>
      <w:r>
        <w:rPr>
          <w:rFonts w:ascii="Arial Narrow" w:hAnsi="Arial Narrow"/>
          <w:sz w:val="23"/>
          <w:szCs w:val="23"/>
        </w:rPr>
        <w:t xml:space="preserve"> </w:t>
      </w:r>
      <w:r w:rsidRPr="00EC42C7">
        <w:rPr>
          <w:rFonts w:ascii="Arial Narrow" w:hAnsi="Arial Narrow"/>
          <w:sz w:val="23"/>
          <w:szCs w:val="23"/>
        </w:rPr>
        <w:t>eklemiştir</w:t>
      </w:r>
      <w:r>
        <w:rPr>
          <w:rFonts w:ascii="Arial Narrow" w:hAnsi="Arial Narrow"/>
          <w:sz w:val="23"/>
          <w:szCs w:val="23"/>
        </w:rPr>
        <w:t>.</w:t>
      </w:r>
      <w:r w:rsidRPr="00EC42C7">
        <w:rPr>
          <w:rFonts w:ascii="Arial Narrow" w:hAnsi="Arial Narrow"/>
          <w:sz w:val="23"/>
          <w:szCs w:val="23"/>
        </w:rPr>
        <w:t xml:space="preserve"> </w:t>
      </w:r>
      <w:r>
        <w:rPr>
          <w:rFonts w:ascii="Arial Narrow" w:hAnsi="Arial Narrow"/>
          <w:sz w:val="23"/>
          <w:szCs w:val="23"/>
        </w:rPr>
        <w:t>A</w:t>
      </w:r>
      <w:r w:rsidRPr="00EC42C7">
        <w:rPr>
          <w:rFonts w:ascii="Arial Narrow" w:hAnsi="Arial Narrow"/>
          <w:sz w:val="23"/>
          <w:szCs w:val="23"/>
        </w:rPr>
        <w:t xml:space="preserve">yrıca, silahların yasal olup olmamasının önemsiz olduğunu belirtmiştir. Bu hususlar, yasada ve yerleşik Yargıtay içtihatlarında bulunmamakta olup, CGK bunları sırf </w:t>
      </w:r>
      <w:r>
        <w:rPr>
          <w:rFonts w:ascii="Arial Narrow" w:hAnsi="Arial Narrow"/>
          <w:sz w:val="23"/>
          <w:szCs w:val="23"/>
        </w:rPr>
        <w:t>Cemaati</w:t>
      </w:r>
      <w:r w:rsidRPr="00EC42C7">
        <w:rPr>
          <w:rFonts w:ascii="Arial Narrow" w:hAnsi="Arial Narrow"/>
          <w:sz w:val="23"/>
          <w:szCs w:val="23"/>
        </w:rPr>
        <w:t xml:space="preserve"> silahlı örgüt nitelendirebilmek amacıyla entegre etmiştir. Örneğin, Emniyet/TSK'daki varlığı "doğasında var olan yetki" olarak yorumlamak, ideolojik faaliyetleri (toplantılar, yayınlar) öngörülemez şekilde suç haline getirm</w:t>
      </w:r>
      <w:r>
        <w:rPr>
          <w:rFonts w:ascii="Arial Narrow" w:hAnsi="Arial Narrow"/>
          <w:sz w:val="23"/>
          <w:szCs w:val="23"/>
        </w:rPr>
        <w:t>işti.</w:t>
      </w:r>
      <w:r w:rsidRPr="00EC42C7">
        <w:rPr>
          <w:rFonts w:ascii="Arial Narrow" w:hAnsi="Arial Narrow"/>
          <w:sz w:val="23"/>
          <w:szCs w:val="23"/>
        </w:rPr>
        <w:t xml:space="preserve"> Bu genişletme, içtihadın doğal gelişimi değil, siyasi motivasyonlu bir yeniliktir; bireyler, suç tarihi (2015) itibarıyla eylemlerinin yasal sonuçlarını öngöremez hale gelm</w:t>
      </w:r>
      <w:r>
        <w:rPr>
          <w:rFonts w:ascii="Arial Narrow" w:hAnsi="Arial Narrow"/>
          <w:sz w:val="23"/>
          <w:szCs w:val="23"/>
        </w:rPr>
        <w:t>iş</w:t>
      </w:r>
      <w:r w:rsidRPr="00EC42C7">
        <w:rPr>
          <w:rFonts w:ascii="Arial Narrow" w:hAnsi="Arial Narrow"/>
          <w:sz w:val="23"/>
          <w:szCs w:val="23"/>
        </w:rPr>
        <w:t>, ceza hukukunun açıklık prensibi zedelenm</w:t>
      </w:r>
      <w:r>
        <w:rPr>
          <w:rFonts w:ascii="Arial Narrow" w:hAnsi="Arial Narrow"/>
          <w:sz w:val="23"/>
          <w:szCs w:val="23"/>
        </w:rPr>
        <w:t xml:space="preserve">iş </w:t>
      </w:r>
      <w:r w:rsidRPr="00EC42C7">
        <w:rPr>
          <w:rFonts w:ascii="Arial Narrow" w:hAnsi="Arial Narrow"/>
          <w:sz w:val="23"/>
          <w:szCs w:val="23"/>
        </w:rPr>
        <w:t>ve keyfi mahkûmiyetlere kapı açılm</w:t>
      </w:r>
      <w:r>
        <w:rPr>
          <w:rFonts w:ascii="Arial Narrow" w:hAnsi="Arial Narrow"/>
          <w:sz w:val="23"/>
          <w:szCs w:val="23"/>
        </w:rPr>
        <w:t>ıştır</w:t>
      </w:r>
      <w:r w:rsidRPr="00EC42C7">
        <w:rPr>
          <w:rFonts w:ascii="Arial Narrow" w:hAnsi="Arial Narrow"/>
          <w:sz w:val="23"/>
          <w:szCs w:val="23"/>
        </w:rPr>
        <w:t xml:space="preserve"> (Parmak ve Bakır §§ 65-67, 76). Sonuçta, bu yaklaşım, AİHM'in kanunilik ilkesini koruma amacını bozarak, bireysel özgürlükleri tehlikeye atm</w:t>
      </w:r>
      <w:r>
        <w:rPr>
          <w:rFonts w:ascii="Arial Narrow" w:hAnsi="Arial Narrow"/>
          <w:sz w:val="23"/>
          <w:szCs w:val="23"/>
        </w:rPr>
        <w:t>ıştır</w:t>
      </w:r>
      <w:r w:rsidRPr="00EC42C7">
        <w:rPr>
          <w:rFonts w:ascii="Arial Narrow" w:hAnsi="Arial Narrow"/>
          <w:sz w:val="23"/>
          <w:szCs w:val="23"/>
        </w:rPr>
        <w:t>.</w:t>
      </w:r>
    </w:p>
    <w:p w14:paraId="3E06AE79" w14:textId="77777777" w:rsidR="00D7125A" w:rsidRDefault="00D7125A" w:rsidP="00D7125A">
      <w:pPr>
        <w:spacing w:after="120"/>
        <w:jc w:val="both"/>
        <w:rPr>
          <w:rFonts w:ascii="Arial Narrow" w:hAnsi="Arial Narrow"/>
          <w:sz w:val="23"/>
          <w:szCs w:val="23"/>
        </w:rPr>
      </w:pPr>
      <w:r w:rsidRPr="006C63D0">
        <w:rPr>
          <w:rFonts w:ascii="Arial Narrow" w:hAnsi="Arial Narrow"/>
          <w:sz w:val="23"/>
          <w:szCs w:val="23"/>
        </w:rPr>
        <w:t>Parmak ve Bakır kararında vurgulanan lehe uygulama ilkesi</w:t>
      </w:r>
      <w:r>
        <w:rPr>
          <w:rFonts w:ascii="Arial Narrow" w:hAnsi="Arial Narrow"/>
          <w:sz w:val="23"/>
          <w:szCs w:val="23"/>
        </w:rPr>
        <w:t xml:space="preserve"> gereğince</w:t>
      </w:r>
      <w:r w:rsidRPr="006C63D0">
        <w:rPr>
          <w:rFonts w:ascii="Arial Narrow" w:hAnsi="Arial Narrow"/>
          <w:sz w:val="23"/>
          <w:szCs w:val="23"/>
        </w:rPr>
        <w:t xml:space="preserve">, 2003 TMK değişikliği terör tanımını daraltmış olup (fiili cebir ve şiddet zorunluluğu getirerek), bu </w:t>
      </w:r>
      <w:r>
        <w:rPr>
          <w:rFonts w:ascii="Arial Narrow" w:hAnsi="Arial Narrow"/>
          <w:sz w:val="23"/>
          <w:szCs w:val="23"/>
        </w:rPr>
        <w:t xml:space="preserve">lehe </w:t>
      </w:r>
      <w:r w:rsidRPr="006C63D0">
        <w:rPr>
          <w:rFonts w:ascii="Arial Narrow" w:hAnsi="Arial Narrow"/>
          <w:sz w:val="23"/>
          <w:szCs w:val="23"/>
        </w:rPr>
        <w:t>hükümler geriye dönük uygulanmalıdır; aksi takdirde masumiyet karinesi ihlal edilir. Başer kararında, CGK suç tarihi 2015 olmasına rağmen 15 Temmuz 2016 olaylarını (silahlı kalkışma) geriye dönük esas alm</w:t>
      </w:r>
      <w:r>
        <w:rPr>
          <w:rFonts w:ascii="Arial Narrow" w:hAnsi="Arial Narrow"/>
          <w:sz w:val="23"/>
          <w:szCs w:val="23"/>
        </w:rPr>
        <w:t>ış</w:t>
      </w:r>
      <w:r w:rsidRPr="006C63D0">
        <w:rPr>
          <w:rFonts w:ascii="Arial Narrow" w:hAnsi="Arial Narrow"/>
          <w:sz w:val="23"/>
          <w:szCs w:val="23"/>
        </w:rPr>
        <w:t>, derdest davaları kesinleşmiş gibi yorumlam</w:t>
      </w:r>
      <w:r>
        <w:rPr>
          <w:rFonts w:ascii="Arial Narrow" w:hAnsi="Arial Narrow"/>
          <w:sz w:val="23"/>
          <w:szCs w:val="23"/>
        </w:rPr>
        <w:t xml:space="preserve">ış </w:t>
      </w:r>
      <w:r w:rsidRPr="006C63D0">
        <w:rPr>
          <w:rFonts w:ascii="Arial Narrow" w:hAnsi="Arial Narrow"/>
          <w:sz w:val="23"/>
          <w:szCs w:val="23"/>
        </w:rPr>
        <w:t>ve matuf eylem (vahim suç) gerekliliğini göz ardı etm</w:t>
      </w:r>
      <w:r>
        <w:rPr>
          <w:rFonts w:ascii="Arial Narrow" w:hAnsi="Arial Narrow"/>
          <w:sz w:val="23"/>
          <w:szCs w:val="23"/>
        </w:rPr>
        <w:t>iştir</w:t>
      </w:r>
      <w:r w:rsidRPr="006C63D0">
        <w:rPr>
          <w:rFonts w:ascii="Arial Narrow" w:hAnsi="Arial Narrow"/>
          <w:sz w:val="23"/>
          <w:szCs w:val="23"/>
        </w:rPr>
        <w:t xml:space="preserve">. Bu, 2003 değişikliğinin daraltıcı etkisini (örneğin, cezai nitelikte fiili eylem zorunluluğunu) lehe uygulamamakta olup, </w:t>
      </w:r>
      <w:r>
        <w:rPr>
          <w:rFonts w:ascii="Arial Narrow" w:hAnsi="Arial Narrow"/>
          <w:sz w:val="23"/>
          <w:szCs w:val="23"/>
        </w:rPr>
        <w:t>kişilerin</w:t>
      </w:r>
      <w:r w:rsidRPr="006C63D0">
        <w:rPr>
          <w:rFonts w:ascii="Arial Narrow" w:hAnsi="Arial Narrow"/>
          <w:sz w:val="23"/>
          <w:szCs w:val="23"/>
        </w:rPr>
        <w:t xml:space="preserve"> suç tarihinden sonraki olaylar (darbe girişimi) nedeniyle mahkûm e</w:t>
      </w:r>
      <w:r>
        <w:rPr>
          <w:rFonts w:ascii="Arial Narrow" w:hAnsi="Arial Narrow"/>
          <w:sz w:val="23"/>
          <w:szCs w:val="23"/>
        </w:rPr>
        <w:t>dilmelerine neden olmuştur.</w:t>
      </w:r>
      <w:r w:rsidRPr="006C63D0">
        <w:rPr>
          <w:rFonts w:ascii="Arial Narrow" w:hAnsi="Arial Narrow"/>
          <w:sz w:val="23"/>
          <w:szCs w:val="23"/>
        </w:rPr>
        <w:t xml:space="preserve"> Bu yaklaşım, ceza kanununun geriye yürümezlik prensibini bozm</w:t>
      </w:r>
      <w:r>
        <w:rPr>
          <w:rFonts w:ascii="Arial Narrow" w:hAnsi="Arial Narrow"/>
          <w:sz w:val="23"/>
          <w:szCs w:val="23"/>
        </w:rPr>
        <w:t xml:space="preserve">uş </w:t>
      </w:r>
      <w:r w:rsidRPr="006C63D0">
        <w:rPr>
          <w:rFonts w:ascii="Arial Narrow" w:hAnsi="Arial Narrow"/>
          <w:sz w:val="23"/>
          <w:szCs w:val="23"/>
        </w:rPr>
        <w:t xml:space="preserve">ve bireyleri zaman içinde değişen yasalardan dezavantajlı </w:t>
      </w:r>
      <w:r>
        <w:rPr>
          <w:rFonts w:ascii="Arial Narrow" w:hAnsi="Arial Narrow"/>
          <w:sz w:val="23"/>
          <w:szCs w:val="23"/>
        </w:rPr>
        <w:t>hale getirmiştir. Ö</w:t>
      </w:r>
      <w:r w:rsidRPr="006C63D0">
        <w:rPr>
          <w:rFonts w:ascii="Arial Narrow" w:hAnsi="Arial Narrow"/>
          <w:sz w:val="23"/>
          <w:szCs w:val="23"/>
        </w:rPr>
        <w:t xml:space="preserve">rneğin, 2015'te suç sayılmayan </w:t>
      </w:r>
      <w:r>
        <w:rPr>
          <w:rFonts w:ascii="Arial Narrow" w:hAnsi="Arial Narrow"/>
          <w:sz w:val="23"/>
          <w:szCs w:val="23"/>
        </w:rPr>
        <w:t>eylemler</w:t>
      </w:r>
      <w:r w:rsidRPr="006C63D0">
        <w:rPr>
          <w:rFonts w:ascii="Arial Narrow" w:hAnsi="Arial Narrow"/>
          <w:sz w:val="23"/>
          <w:szCs w:val="23"/>
        </w:rPr>
        <w:t>, 2016 olaylarıyla geriye dönük suç haline getirilm</w:t>
      </w:r>
      <w:r>
        <w:rPr>
          <w:rFonts w:ascii="Arial Narrow" w:hAnsi="Arial Narrow"/>
          <w:sz w:val="23"/>
          <w:szCs w:val="23"/>
        </w:rPr>
        <w:t xml:space="preserve">iştir </w:t>
      </w:r>
      <w:r w:rsidRPr="006C63D0">
        <w:rPr>
          <w:rFonts w:ascii="Arial Narrow" w:hAnsi="Arial Narrow"/>
          <w:sz w:val="23"/>
          <w:szCs w:val="23"/>
        </w:rPr>
        <w:t xml:space="preserve">Bu </w:t>
      </w:r>
      <w:r>
        <w:rPr>
          <w:rFonts w:ascii="Arial Narrow" w:hAnsi="Arial Narrow"/>
          <w:sz w:val="23"/>
          <w:szCs w:val="23"/>
        </w:rPr>
        <w:t>uygulama</w:t>
      </w:r>
      <w:r w:rsidRPr="006C63D0">
        <w:rPr>
          <w:rFonts w:ascii="Arial Narrow" w:hAnsi="Arial Narrow"/>
          <w:sz w:val="23"/>
          <w:szCs w:val="23"/>
        </w:rPr>
        <w:t>, masumiyet karinesini zedeleyerek, yargılamaların adil olmasını engelle</w:t>
      </w:r>
      <w:r>
        <w:rPr>
          <w:rFonts w:ascii="Arial Narrow" w:hAnsi="Arial Narrow"/>
          <w:sz w:val="23"/>
          <w:szCs w:val="23"/>
        </w:rPr>
        <w:t>miş</w:t>
      </w:r>
      <w:r w:rsidRPr="006C63D0">
        <w:rPr>
          <w:rFonts w:ascii="Arial Narrow" w:hAnsi="Arial Narrow"/>
          <w:sz w:val="23"/>
          <w:szCs w:val="23"/>
        </w:rPr>
        <w:t xml:space="preserve"> ve bireylerin geçmiş eylemlerini güvence altına alan Sözleşme güvencelerini zayıflat</w:t>
      </w:r>
      <w:r>
        <w:rPr>
          <w:rFonts w:ascii="Arial Narrow" w:hAnsi="Arial Narrow"/>
          <w:sz w:val="23"/>
          <w:szCs w:val="23"/>
        </w:rPr>
        <w:t>mıştır</w:t>
      </w:r>
      <w:r w:rsidRPr="006C63D0">
        <w:rPr>
          <w:rFonts w:ascii="Arial Narrow" w:hAnsi="Arial Narrow"/>
          <w:sz w:val="23"/>
          <w:szCs w:val="23"/>
        </w:rPr>
        <w:t>.</w:t>
      </w:r>
    </w:p>
    <w:p w14:paraId="21602F1A" w14:textId="77777777" w:rsidR="00D7125A" w:rsidRDefault="00D7125A" w:rsidP="00D7125A">
      <w:pPr>
        <w:spacing w:after="120"/>
        <w:jc w:val="both"/>
        <w:rPr>
          <w:rFonts w:ascii="Arial Narrow" w:hAnsi="Arial Narrow"/>
          <w:sz w:val="23"/>
          <w:szCs w:val="23"/>
        </w:rPr>
      </w:pPr>
      <w:r w:rsidRPr="00B35B90">
        <w:rPr>
          <w:rFonts w:ascii="Arial Narrow" w:hAnsi="Arial Narrow"/>
          <w:sz w:val="23"/>
          <w:szCs w:val="23"/>
        </w:rPr>
        <w:t>Parmak ve Bakır kararında AİHM, suç</w:t>
      </w:r>
      <w:r>
        <w:rPr>
          <w:rFonts w:ascii="Arial Narrow" w:hAnsi="Arial Narrow"/>
          <w:sz w:val="23"/>
          <w:szCs w:val="23"/>
        </w:rPr>
        <w:t>un</w:t>
      </w:r>
      <w:r w:rsidRPr="00B35B90">
        <w:rPr>
          <w:rFonts w:ascii="Arial Narrow" w:hAnsi="Arial Narrow"/>
          <w:sz w:val="23"/>
          <w:szCs w:val="23"/>
        </w:rPr>
        <w:t xml:space="preserve"> unsurlarının (kümülatif koşullar: fiili şiddet, </w:t>
      </w:r>
      <w:r>
        <w:rPr>
          <w:rFonts w:ascii="Arial Narrow" w:hAnsi="Arial Narrow"/>
          <w:sz w:val="23"/>
          <w:szCs w:val="23"/>
        </w:rPr>
        <w:t>vahim</w:t>
      </w:r>
      <w:r w:rsidRPr="00B35B90">
        <w:rPr>
          <w:rFonts w:ascii="Arial Narrow" w:hAnsi="Arial Narrow"/>
          <w:sz w:val="23"/>
          <w:szCs w:val="23"/>
        </w:rPr>
        <w:t xml:space="preserve"> eylem) yasayla bağdaşmasını</w:t>
      </w:r>
      <w:r>
        <w:rPr>
          <w:rFonts w:ascii="Arial Narrow" w:hAnsi="Arial Narrow"/>
          <w:sz w:val="23"/>
          <w:szCs w:val="23"/>
        </w:rPr>
        <w:t>n</w:t>
      </w:r>
      <w:r w:rsidRPr="00B35B90">
        <w:rPr>
          <w:rFonts w:ascii="Arial Narrow" w:hAnsi="Arial Narrow"/>
          <w:sz w:val="23"/>
          <w:szCs w:val="23"/>
        </w:rPr>
        <w:t xml:space="preserve"> gerekti</w:t>
      </w:r>
      <w:r>
        <w:rPr>
          <w:rFonts w:ascii="Arial Narrow" w:hAnsi="Arial Narrow"/>
          <w:sz w:val="23"/>
          <w:szCs w:val="23"/>
        </w:rPr>
        <w:t>ğini</w:t>
      </w:r>
      <w:r w:rsidRPr="00B35B90">
        <w:rPr>
          <w:rFonts w:ascii="Arial Narrow" w:hAnsi="Arial Narrow"/>
          <w:sz w:val="23"/>
          <w:szCs w:val="23"/>
        </w:rPr>
        <w:t xml:space="preserve"> ve geniş yorumun suçun temel niteliğini bozduğunu belirtmiştir. Başer kararında, CGK matuf eylem olmadan örgüt kabulü yapm</w:t>
      </w:r>
      <w:r>
        <w:rPr>
          <w:rFonts w:ascii="Arial Narrow" w:hAnsi="Arial Narrow"/>
          <w:sz w:val="23"/>
          <w:szCs w:val="23"/>
        </w:rPr>
        <w:t>ış</w:t>
      </w:r>
      <w:r w:rsidRPr="00B35B90">
        <w:rPr>
          <w:rFonts w:ascii="Arial Narrow" w:hAnsi="Arial Narrow"/>
          <w:sz w:val="23"/>
          <w:szCs w:val="23"/>
        </w:rPr>
        <w:t>, TCK md. 314'teki unsurları (cebir/şiddet, silahlı eylem) "hukuki görünümlü yöntemlerle" genişletm</w:t>
      </w:r>
      <w:r>
        <w:rPr>
          <w:rFonts w:ascii="Arial Narrow" w:hAnsi="Arial Narrow"/>
          <w:sz w:val="23"/>
          <w:szCs w:val="23"/>
        </w:rPr>
        <w:t>iş v</w:t>
      </w:r>
      <w:r w:rsidRPr="00B35B90">
        <w:rPr>
          <w:rFonts w:ascii="Arial Narrow" w:hAnsi="Arial Narrow"/>
          <w:sz w:val="23"/>
          <w:szCs w:val="23"/>
        </w:rPr>
        <w:t xml:space="preserve">e </w:t>
      </w:r>
      <w:r>
        <w:rPr>
          <w:rFonts w:ascii="Arial Narrow" w:hAnsi="Arial Narrow"/>
          <w:sz w:val="23"/>
          <w:szCs w:val="23"/>
        </w:rPr>
        <w:t>yasal-rutin</w:t>
      </w:r>
      <w:r w:rsidRPr="00B35B90">
        <w:rPr>
          <w:rFonts w:ascii="Arial Narrow" w:hAnsi="Arial Narrow"/>
          <w:sz w:val="23"/>
          <w:szCs w:val="23"/>
        </w:rPr>
        <w:t xml:space="preserve"> faaliyetleri (örneğin, yayınlar veya toplantılar) terör suçu haline getirm</w:t>
      </w:r>
      <w:r>
        <w:rPr>
          <w:rFonts w:ascii="Arial Narrow" w:hAnsi="Arial Narrow"/>
          <w:sz w:val="23"/>
          <w:szCs w:val="23"/>
        </w:rPr>
        <w:t>iştir</w:t>
      </w:r>
      <w:r w:rsidRPr="00B35B90">
        <w:rPr>
          <w:rFonts w:ascii="Arial Narrow" w:hAnsi="Arial Narrow"/>
          <w:sz w:val="23"/>
          <w:szCs w:val="23"/>
        </w:rPr>
        <w:t>. Yalçınkaya</w:t>
      </w:r>
      <w:r>
        <w:rPr>
          <w:rFonts w:ascii="Arial Narrow" w:hAnsi="Arial Narrow"/>
          <w:sz w:val="23"/>
          <w:szCs w:val="23"/>
        </w:rPr>
        <w:t xml:space="preserve"> kararın</w:t>
      </w:r>
      <w:r w:rsidRPr="00B35B90">
        <w:rPr>
          <w:rFonts w:ascii="Arial Narrow" w:hAnsi="Arial Narrow"/>
          <w:sz w:val="23"/>
          <w:szCs w:val="23"/>
        </w:rPr>
        <w:t xml:space="preserve"> 161</w:t>
      </w:r>
      <w:r>
        <w:rPr>
          <w:rFonts w:ascii="Arial Narrow" w:hAnsi="Arial Narrow"/>
          <w:sz w:val="23"/>
          <w:szCs w:val="23"/>
        </w:rPr>
        <w:t>. paragrafında da kabul edilen ve önceki uygulama ve içtihatlarda olmayan</w:t>
      </w:r>
      <w:r w:rsidRPr="00B35B90">
        <w:rPr>
          <w:rFonts w:ascii="Arial Narrow" w:hAnsi="Arial Narrow"/>
          <w:sz w:val="23"/>
          <w:szCs w:val="23"/>
        </w:rPr>
        <w:t xml:space="preserve"> eklemeler (</w:t>
      </w:r>
      <w:r>
        <w:rPr>
          <w:rFonts w:ascii="Arial Narrow" w:hAnsi="Arial Narrow"/>
          <w:sz w:val="23"/>
          <w:szCs w:val="23"/>
        </w:rPr>
        <w:t xml:space="preserve">cebir şiddet </w:t>
      </w:r>
      <w:r w:rsidRPr="00B35B90">
        <w:rPr>
          <w:rFonts w:ascii="Arial Narrow" w:hAnsi="Arial Narrow"/>
          <w:sz w:val="23"/>
          <w:szCs w:val="23"/>
        </w:rPr>
        <w:t>risk</w:t>
      </w:r>
      <w:r>
        <w:rPr>
          <w:rFonts w:ascii="Arial Narrow" w:hAnsi="Arial Narrow"/>
          <w:sz w:val="23"/>
          <w:szCs w:val="23"/>
        </w:rPr>
        <w:t>i</w:t>
      </w:r>
      <w:r w:rsidRPr="00B35B90">
        <w:rPr>
          <w:rFonts w:ascii="Arial Narrow" w:hAnsi="Arial Narrow"/>
          <w:sz w:val="23"/>
          <w:szCs w:val="23"/>
        </w:rPr>
        <w:t xml:space="preserve">ı, silah erişim imkânı), yasada olmayan unsurlar olup, CGK bunları </w:t>
      </w:r>
      <w:r>
        <w:rPr>
          <w:rFonts w:ascii="Arial Narrow" w:hAnsi="Arial Narrow"/>
          <w:sz w:val="23"/>
          <w:szCs w:val="23"/>
        </w:rPr>
        <w:t>Cemaati</w:t>
      </w:r>
      <w:r w:rsidRPr="00B35B90">
        <w:rPr>
          <w:rFonts w:ascii="Arial Narrow" w:hAnsi="Arial Narrow"/>
          <w:sz w:val="23"/>
          <w:szCs w:val="23"/>
        </w:rPr>
        <w:t xml:space="preserve"> silahlı örgüt yapabilmek için kullanmış</w:t>
      </w:r>
      <w:r>
        <w:rPr>
          <w:rFonts w:ascii="Arial Narrow" w:hAnsi="Arial Narrow"/>
          <w:sz w:val="23"/>
          <w:szCs w:val="23"/>
        </w:rPr>
        <w:t xml:space="preserve"> ve</w:t>
      </w:r>
      <w:r w:rsidRPr="00B35B90">
        <w:rPr>
          <w:rFonts w:ascii="Arial Narrow" w:hAnsi="Arial Narrow"/>
          <w:sz w:val="23"/>
          <w:szCs w:val="23"/>
        </w:rPr>
        <w:t xml:space="preserve"> matuf eylem yargılamasında mahkumiyet yokken (TCK md. 312'den beraat</w:t>
      </w:r>
      <w:r>
        <w:rPr>
          <w:rFonts w:ascii="Arial Narrow" w:hAnsi="Arial Narrow"/>
          <w:sz w:val="23"/>
          <w:szCs w:val="23"/>
        </w:rPr>
        <w:t xml:space="preserve"> verilmişken</w:t>
      </w:r>
      <w:r w:rsidRPr="00B35B90">
        <w:rPr>
          <w:rFonts w:ascii="Arial Narrow" w:hAnsi="Arial Narrow"/>
          <w:sz w:val="23"/>
          <w:szCs w:val="23"/>
        </w:rPr>
        <w:t>) örgüt kabulü yapılm</w:t>
      </w:r>
      <w:r>
        <w:rPr>
          <w:rFonts w:ascii="Arial Narrow" w:hAnsi="Arial Narrow"/>
          <w:sz w:val="23"/>
          <w:szCs w:val="23"/>
        </w:rPr>
        <w:t>ıştır</w:t>
      </w:r>
      <w:r w:rsidRPr="00B35B90">
        <w:rPr>
          <w:rFonts w:ascii="Arial Narrow" w:hAnsi="Arial Narrow"/>
          <w:sz w:val="23"/>
          <w:szCs w:val="23"/>
        </w:rPr>
        <w:t>. Bu, suçun temel niteliğini (fiili matuf suç ve kümülatif koşullar) bozmakta, yerleşik içtihatlardaki matuf eylem gerekliliğini göz ardı etmekte ve yasanın daraltıcı amacını (2003 TMK değişikliğiyle getirilen fiili şiddet zorunluluğunu) zedelemektedir; Parmak ve Bakır §§68-75'teki gibi, ideolojik ifadeleri cezalandırarak ifade özgürlüğüyle çelişmekte ve siyasi fikirlere dayalı mahkûmiyetlere yol açmaktadır (Başkaya ve Okçuoğlu v. Türkiye §51). Sonuçta, bu ihlal, ceza hukukunun dar yorum prensibini ihlal ederek, bireyleri keyfi kovuşturmalara maruz bırak</w:t>
      </w:r>
      <w:r>
        <w:rPr>
          <w:rFonts w:ascii="Arial Narrow" w:hAnsi="Arial Narrow"/>
          <w:sz w:val="23"/>
          <w:szCs w:val="23"/>
        </w:rPr>
        <w:t>mıştır</w:t>
      </w:r>
      <w:r w:rsidRPr="00B35B90">
        <w:rPr>
          <w:rFonts w:ascii="Arial Narrow" w:hAnsi="Arial Narrow"/>
          <w:sz w:val="23"/>
          <w:szCs w:val="23"/>
        </w:rPr>
        <w:t>.</w:t>
      </w:r>
    </w:p>
    <w:p w14:paraId="01FBB571" w14:textId="77777777" w:rsidR="00D7125A" w:rsidRDefault="00D7125A" w:rsidP="00D7125A">
      <w:pPr>
        <w:spacing w:after="120"/>
        <w:jc w:val="both"/>
        <w:rPr>
          <w:rFonts w:ascii="Arial Narrow" w:eastAsia="Times New Roman" w:hAnsi="Arial Narrow" w:cs="Times New Roman"/>
          <w:bCs/>
          <w:sz w:val="23"/>
          <w:szCs w:val="23"/>
          <w:lang w:eastAsia="tr-TR"/>
        </w:rPr>
      </w:pPr>
      <w:r w:rsidRPr="00B35B90">
        <w:rPr>
          <w:rFonts w:ascii="Arial Narrow" w:hAnsi="Arial Narrow"/>
          <w:sz w:val="23"/>
          <w:szCs w:val="23"/>
        </w:rPr>
        <w:t xml:space="preserve">Parmak ve Bakır kararında AİHM, terörle mücadelenin zorluklarını kabul etmekle birlikte Madde 7 güvencelerinin (açıklık, öngörülebilirlik) önceliğini vurgulamış ve yeni yorumların makul sınırlar içinde kalmasını </w:t>
      </w:r>
      <w:r>
        <w:rPr>
          <w:rFonts w:ascii="Arial Narrow" w:hAnsi="Arial Narrow"/>
          <w:sz w:val="23"/>
          <w:szCs w:val="23"/>
        </w:rPr>
        <w:t>istemiştir</w:t>
      </w:r>
      <w:r w:rsidRPr="00B35B90">
        <w:rPr>
          <w:rFonts w:ascii="Arial Narrow" w:hAnsi="Arial Narrow"/>
          <w:sz w:val="23"/>
          <w:szCs w:val="23"/>
        </w:rPr>
        <w:t xml:space="preserve"> (§ 77). Başer kararında, CGK emsal içtihat yokluğunda yeni yorum </w:t>
      </w:r>
      <w:r>
        <w:rPr>
          <w:rFonts w:ascii="Arial Narrow" w:hAnsi="Arial Narrow"/>
          <w:sz w:val="23"/>
          <w:szCs w:val="23"/>
        </w:rPr>
        <w:t>oluşturmuş</w:t>
      </w:r>
      <w:r w:rsidRPr="00B35B90">
        <w:rPr>
          <w:rFonts w:ascii="Arial Narrow" w:hAnsi="Arial Narrow"/>
          <w:sz w:val="23"/>
          <w:szCs w:val="23"/>
        </w:rPr>
        <w:t xml:space="preserve"> olup, varsayımlara (örneğin, "doğasında var olan yetki") dayanarak açıklık ve öngörülebilirliği ihlal etm</w:t>
      </w:r>
      <w:r>
        <w:rPr>
          <w:rFonts w:ascii="Arial Narrow" w:hAnsi="Arial Narrow"/>
          <w:sz w:val="23"/>
          <w:szCs w:val="23"/>
        </w:rPr>
        <w:t>iştir</w:t>
      </w:r>
      <w:r w:rsidRPr="00B35B90">
        <w:rPr>
          <w:rFonts w:ascii="Arial Narrow" w:hAnsi="Arial Narrow"/>
          <w:sz w:val="23"/>
          <w:szCs w:val="23"/>
        </w:rPr>
        <w:t>. Bu, terörle mücadele bahanesiyle yasanın haksız genişletilmesine yol açm</w:t>
      </w:r>
      <w:r>
        <w:rPr>
          <w:rFonts w:ascii="Arial Narrow" w:hAnsi="Arial Narrow"/>
          <w:sz w:val="23"/>
          <w:szCs w:val="23"/>
        </w:rPr>
        <w:t>ış ve</w:t>
      </w:r>
      <w:r w:rsidRPr="00B35B90">
        <w:rPr>
          <w:rFonts w:ascii="Arial Narrow" w:hAnsi="Arial Narrow"/>
          <w:sz w:val="23"/>
          <w:szCs w:val="23"/>
        </w:rPr>
        <w:t xml:space="preserve"> ve </w:t>
      </w:r>
      <w:r>
        <w:rPr>
          <w:rFonts w:ascii="Arial Narrow" w:hAnsi="Arial Narrow"/>
          <w:sz w:val="23"/>
          <w:szCs w:val="23"/>
        </w:rPr>
        <w:t xml:space="preserve">kişileri </w:t>
      </w:r>
      <w:r w:rsidRPr="00B35B90">
        <w:rPr>
          <w:rFonts w:ascii="Arial Narrow" w:hAnsi="Arial Narrow"/>
          <w:sz w:val="23"/>
          <w:szCs w:val="23"/>
        </w:rPr>
        <w:t xml:space="preserve">işlendiği sırada suç sayılmayan </w:t>
      </w:r>
      <w:r>
        <w:rPr>
          <w:rFonts w:ascii="Arial Narrow" w:hAnsi="Arial Narrow"/>
          <w:sz w:val="23"/>
          <w:szCs w:val="23"/>
        </w:rPr>
        <w:t xml:space="preserve">yasal ve rutin </w:t>
      </w:r>
      <w:r w:rsidRPr="00B35B90">
        <w:rPr>
          <w:rFonts w:ascii="Arial Narrow" w:hAnsi="Arial Narrow"/>
          <w:sz w:val="23"/>
          <w:szCs w:val="23"/>
        </w:rPr>
        <w:t>fiiller</w:t>
      </w:r>
      <w:r>
        <w:rPr>
          <w:rFonts w:ascii="Arial Narrow" w:hAnsi="Arial Narrow"/>
          <w:sz w:val="23"/>
          <w:szCs w:val="23"/>
        </w:rPr>
        <w:t>in</w:t>
      </w:r>
      <w:r w:rsidRPr="00B35B90">
        <w:rPr>
          <w:rFonts w:ascii="Arial Narrow" w:hAnsi="Arial Narrow"/>
          <w:sz w:val="23"/>
          <w:szCs w:val="23"/>
        </w:rPr>
        <w:t>den mahkûm</w:t>
      </w:r>
      <w:r>
        <w:rPr>
          <w:rFonts w:ascii="Arial Narrow" w:hAnsi="Arial Narrow"/>
          <w:sz w:val="23"/>
          <w:szCs w:val="23"/>
        </w:rPr>
        <w:t xml:space="preserve"> edilmelerine neden olmuştur.</w:t>
      </w:r>
      <w:r w:rsidRPr="00B35B90">
        <w:rPr>
          <w:rFonts w:ascii="Arial Narrow" w:hAnsi="Arial Narrow"/>
          <w:sz w:val="23"/>
          <w:szCs w:val="23"/>
        </w:rPr>
        <w:t xml:space="preserve"> Bu yaklaşım, AİHM'in dengeli içtihadını bozmakta olup, Devletlerin güvenlik ihtiyaçlarını anlarken bireysel hakları ön planda tutma ilkesini ihlal e</w:t>
      </w:r>
      <w:r>
        <w:rPr>
          <w:rFonts w:ascii="Arial Narrow" w:hAnsi="Arial Narrow"/>
          <w:sz w:val="23"/>
          <w:szCs w:val="23"/>
        </w:rPr>
        <w:t>tmiştir.</w:t>
      </w:r>
      <w:r w:rsidRPr="00B35B90">
        <w:rPr>
          <w:rFonts w:ascii="Arial Narrow" w:hAnsi="Arial Narrow"/>
          <w:sz w:val="23"/>
          <w:szCs w:val="23"/>
        </w:rPr>
        <w:t xml:space="preserve"> Parmak ve Bakır kararındaki gibi, terör taktikleri evrilse bile Madde 7 güvenceleri etkilenmez ve yeni yorumlar bireyleri öngörülemez şekilde cezalandıramaz (S.W. v. Birleşik Krallık §36). </w:t>
      </w:r>
      <w:r w:rsidRPr="00B35B90">
        <w:rPr>
          <w:rFonts w:ascii="Arial Narrow" w:hAnsi="Arial Narrow"/>
          <w:sz w:val="23"/>
          <w:szCs w:val="23"/>
        </w:rPr>
        <w:lastRenderedPageBreak/>
        <w:t>Bu ihlal, yargı bağımsızlığını zedeleyerek, siyasi motivasyonlu kararlara zemin hazırla</w:t>
      </w:r>
      <w:r>
        <w:rPr>
          <w:rFonts w:ascii="Arial Narrow" w:hAnsi="Arial Narrow"/>
          <w:sz w:val="23"/>
          <w:szCs w:val="23"/>
        </w:rPr>
        <w:t>mış</w:t>
      </w:r>
      <w:r w:rsidRPr="00B35B90">
        <w:rPr>
          <w:rFonts w:ascii="Arial Narrow" w:hAnsi="Arial Narrow"/>
          <w:sz w:val="23"/>
          <w:szCs w:val="23"/>
        </w:rPr>
        <w:t xml:space="preserve"> ve Sözleşme'nin temel amacını (bireysel özgürlükleri koruma) zayıflat</w:t>
      </w:r>
      <w:r>
        <w:rPr>
          <w:rFonts w:ascii="Arial Narrow" w:hAnsi="Arial Narrow"/>
          <w:sz w:val="23"/>
          <w:szCs w:val="23"/>
        </w:rPr>
        <w:t>mıştır</w:t>
      </w:r>
      <w:r w:rsidRPr="00B35B90">
        <w:rPr>
          <w:rFonts w:ascii="Arial Narrow" w:hAnsi="Arial Narrow"/>
          <w:sz w:val="23"/>
          <w:szCs w:val="23"/>
        </w:rPr>
        <w:t>.</w:t>
      </w:r>
    </w:p>
    <w:p w14:paraId="306C5DFC" w14:textId="77777777" w:rsidR="00D7125A" w:rsidRPr="00E16BB4" w:rsidRDefault="00D7125A" w:rsidP="00D7125A">
      <w:pPr>
        <w:spacing w:after="120"/>
        <w:jc w:val="both"/>
        <w:rPr>
          <w:rFonts w:ascii="Arial Narrow" w:hAnsi="Arial Narrow"/>
          <w:sz w:val="23"/>
          <w:szCs w:val="23"/>
        </w:rPr>
      </w:pPr>
      <w:r>
        <w:rPr>
          <w:rFonts w:ascii="Arial Narrow" w:eastAsia="Times New Roman" w:hAnsi="Arial Narrow" w:cs="Times New Roman"/>
          <w:bCs/>
          <w:sz w:val="23"/>
          <w:szCs w:val="23"/>
          <w:lang w:eastAsia="tr-TR"/>
        </w:rPr>
        <w:t xml:space="preserve">Aynı şekilde, başvurucu </w:t>
      </w:r>
      <w:r w:rsidRPr="00EC42C7">
        <w:rPr>
          <w:rFonts w:ascii="Arial Narrow" w:eastAsia="Times New Roman" w:hAnsi="Arial Narrow" w:cs="Times New Roman"/>
          <w:bCs/>
          <w:sz w:val="23"/>
          <w:szCs w:val="23"/>
          <w:lang w:eastAsia="tr-TR"/>
        </w:rPr>
        <w:t>Bylock programını kullandığı, bu program üzerinde yazıştığı iddiası, Bank Asya’ya para yatırdığı, sohbete katıldığı, sohbet ettiği, sendika/dernek üyesi olduğu, Kimse Yok Mu Derneğine bağış yaptığı/üye olduğu, SGK’lı olarak bir kurumda çalıştığı, yapılan arama sonucunda  … ait/tarafından yazılan kitapların bulunmuş olması, … otelinde konaklamış olma, Zaman Gazetesi abonesi olma, sosyal medya paylaşımları</w:t>
      </w:r>
      <w:r>
        <w:rPr>
          <w:rFonts w:ascii="Arial Narrow" w:eastAsia="Times New Roman" w:hAnsi="Arial Narrow" w:cs="Times New Roman"/>
          <w:bCs/>
          <w:sz w:val="23"/>
          <w:szCs w:val="23"/>
          <w:lang w:eastAsia="tr-TR"/>
        </w:rPr>
        <w:t>nda</w:t>
      </w:r>
      <w:r w:rsidRPr="00EC42C7">
        <w:rPr>
          <w:rFonts w:ascii="Arial Narrow" w:eastAsia="Times New Roman" w:hAnsi="Arial Narrow" w:cs="Times New Roman"/>
          <w:bCs/>
          <w:sz w:val="23"/>
          <w:szCs w:val="23"/>
          <w:lang w:eastAsia="tr-TR"/>
        </w:rPr>
        <w:t xml:space="preserve"> hükümet aleyhinde konuştuğu iddiası nedeniyle terör örgütü üyeliğinden cezalandırıl</w:t>
      </w:r>
      <w:r>
        <w:rPr>
          <w:rFonts w:ascii="Arial Narrow" w:eastAsia="Times New Roman" w:hAnsi="Arial Narrow" w:cs="Times New Roman"/>
          <w:bCs/>
          <w:sz w:val="23"/>
          <w:szCs w:val="23"/>
          <w:lang w:eastAsia="tr-TR"/>
        </w:rPr>
        <w:t>mıştır</w:t>
      </w:r>
      <w:r w:rsidRPr="00EC42C7">
        <w:rPr>
          <w:rFonts w:ascii="Arial Narrow" w:eastAsia="Times New Roman" w:hAnsi="Arial Narrow" w:cs="Times New Roman"/>
          <w:bCs/>
          <w:sz w:val="23"/>
          <w:szCs w:val="23"/>
          <w:lang w:eastAsia="tr-TR"/>
        </w:rPr>
        <w:t xml:space="preserve">. Bu eylemlerin şiddeti ve terörü teşvik edici nitelik taşıdığına ilişkin bir delil dosyaya sunulmamış, bu husus araştırılmamıştır. Bunlar yapıldıkları zamanda tamamen yasal olan ve bir temel hak ve özgürlüğün kullanımdan ibaret faaliyetlerdir. </w:t>
      </w:r>
    </w:p>
    <w:p w14:paraId="485E4D49" w14:textId="77777777" w:rsidR="00D7125A" w:rsidRPr="00EC42C7" w:rsidRDefault="00D7125A" w:rsidP="00D7125A">
      <w:pPr>
        <w:shd w:val="clear" w:color="auto" w:fill="FFFFFF"/>
        <w:spacing w:after="120"/>
        <w:jc w:val="both"/>
        <w:rPr>
          <w:rFonts w:ascii="Arial Narrow" w:eastAsia="Times New Roman" w:hAnsi="Arial Narrow" w:cs="Times New Roman"/>
          <w:bCs/>
          <w:sz w:val="23"/>
          <w:szCs w:val="23"/>
          <w:lang w:eastAsia="tr-TR"/>
        </w:rPr>
      </w:pPr>
      <w:r w:rsidRPr="00EC42C7">
        <w:rPr>
          <w:rFonts w:ascii="Arial Narrow" w:eastAsia="Times New Roman" w:hAnsi="Arial Narrow" w:cs="Times New Roman"/>
          <w:bCs/>
          <w:sz w:val="23"/>
          <w:szCs w:val="23"/>
          <w:lang w:eastAsia="tr-TR"/>
        </w:rPr>
        <w:t>Silahlı terör örgütü üyeliğinden mahkum</w:t>
      </w:r>
      <w:r>
        <w:rPr>
          <w:rFonts w:ascii="Arial Narrow" w:eastAsia="Times New Roman" w:hAnsi="Arial Narrow" w:cs="Times New Roman"/>
          <w:bCs/>
          <w:sz w:val="23"/>
          <w:szCs w:val="23"/>
          <w:lang w:eastAsia="tr-TR"/>
        </w:rPr>
        <w:t>iyet için</w:t>
      </w:r>
      <w:r w:rsidRPr="00EC42C7">
        <w:rPr>
          <w:rFonts w:ascii="Arial Narrow" w:eastAsia="Times New Roman" w:hAnsi="Arial Narrow" w:cs="Times New Roman"/>
          <w:bCs/>
          <w:sz w:val="23"/>
          <w:szCs w:val="23"/>
          <w:lang w:eastAsia="tr-TR"/>
        </w:rPr>
        <w:t xml:space="preserve"> bu faaliyetlerin iddia edilen ancak </w:t>
      </w:r>
      <w:r>
        <w:rPr>
          <w:rFonts w:ascii="Arial Narrow" w:eastAsia="Times New Roman" w:hAnsi="Arial Narrow" w:cs="Times New Roman"/>
          <w:bCs/>
          <w:sz w:val="23"/>
          <w:szCs w:val="23"/>
          <w:lang w:eastAsia="tr-TR"/>
        </w:rPr>
        <w:t xml:space="preserve">başvurucunun </w:t>
      </w:r>
      <w:r w:rsidRPr="00EC42C7">
        <w:rPr>
          <w:rFonts w:ascii="Arial Narrow" w:eastAsia="Times New Roman" w:hAnsi="Arial Narrow" w:cs="Times New Roman"/>
          <w:bCs/>
          <w:sz w:val="23"/>
          <w:szCs w:val="23"/>
          <w:lang w:eastAsia="tr-TR"/>
        </w:rPr>
        <w:t xml:space="preserve">kabul etmediği örgüt hiyerarşisinden gelen talimat üzerine gerçekleştirildiği ve </w:t>
      </w:r>
      <w:r>
        <w:rPr>
          <w:rFonts w:ascii="Arial Narrow" w:eastAsia="Times New Roman" w:hAnsi="Arial Narrow" w:cs="Times New Roman"/>
          <w:bCs/>
          <w:sz w:val="23"/>
          <w:szCs w:val="23"/>
          <w:lang w:eastAsia="tr-TR"/>
        </w:rPr>
        <w:t>cemaatin</w:t>
      </w:r>
      <w:r w:rsidRPr="00EC42C7">
        <w:rPr>
          <w:rFonts w:ascii="Arial Narrow" w:eastAsia="Times New Roman" w:hAnsi="Arial Narrow" w:cs="Times New Roman"/>
          <w:bCs/>
          <w:sz w:val="23"/>
          <w:szCs w:val="23"/>
          <w:lang w:eastAsia="tr-TR"/>
        </w:rPr>
        <w:t xml:space="preserve"> nihai amacı</w:t>
      </w:r>
      <w:r>
        <w:rPr>
          <w:rFonts w:ascii="Arial Narrow" w:eastAsia="Times New Roman" w:hAnsi="Arial Narrow" w:cs="Times New Roman"/>
          <w:bCs/>
          <w:sz w:val="23"/>
          <w:szCs w:val="23"/>
          <w:lang w:eastAsia="tr-TR"/>
        </w:rPr>
        <w:t xml:space="preserve"> kabul edilen</w:t>
      </w:r>
      <w:r w:rsidRPr="00EC42C7">
        <w:rPr>
          <w:rFonts w:ascii="Arial Narrow" w:eastAsia="Times New Roman" w:hAnsi="Arial Narrow" w:cs="Times New Roman"/>
          <w:bCs/>
          <w:sz w:val="23"/>
          <w:szCs w:val="23"/>
          <w:lang w:eastAsia="tr-TR"/>
        </w:rPr>
        <w:t xml:space="preserve"> (anayasal düzeni değiştirme, hükümeti devirme, darbe teşebbüsü)</w:t>
      </w:r>
      <w:r>
        <w:rPr>
          <w:rFonts w:ascii="Arial Narrow" w:eastAsia="Times New Roman" w:hAnsi="Arial Narrow" w:cs="Times New Roman"/>
          <w:bCs/>
          <w:sz w:val="23"/>
          <w:szCs w:val="23"/>
          <w:lang w:eastAsia="tr-TR"/>
        </w:rPr>
        <w:t xml:space="preserve"> hususlara</w:t>
      </w:r>
      <w:r w:rsidRPr="00EC42C7">
        <w:rPr>
          <w:rFonts w:ascii="Arial Narrow" w:eastAsia="Times New Roman" w:hAnsi="Arial Narrow" w:cs="Times New Roman"/>
          <w:bCs/>
          <w:sz w:val="23"/>
          <w:szCs w:val="23"/>
          <w:lang w:eastAsia="tr-TR"/>
        </w:rPr>
        <w:t xml:space="preserve"> hizmet ettiğin</w:t>
      </w:r>
      <w:r>
        <w:rPr>
          <w:rFonts w:ascii="Arial Narrow" w:eastAsia="Times New Roman" w:hAnsi="Arial Narrow" w:cs="Times New Roman"/>
          <w:bCs/>
          <w:sz w:val="23"/>
          <w:szCs w:val="23"/>
          <w:lang w:eastAsia="tr-TR"/>
        </w:rPr>
        <w:t>in</w:t>
      </w:r>
      <w:r w:rsidRPr="00EC42C7">
        <w:rPr>
          <w:rFonts w:ascii="Arial Narrow" w:eastAsia="Times New Roman" w:hAnsi="Arial Narrow" w:cs="Times New Roman"/>
          <w:bCs/>
          <w:sz w:val="23"/>
          <w:szCs w:val="23"/>
          <w:lang w:eastAsia="tr-TR"/>
        </w:rPr>
        <w:t xml:space="preserve"> kanıtlanması gerek</w:t>
      </w:r>
      <w:r>
        <w:rPr>
          <w:rFonts w:ascii="Arial Narrow" w:eastAsia="Times New Roman" w:hAnsi="Arial Narrow" w:cs="Times New Roman"/>
          <w:bCs/>
          <w:sz w:val="23"/>
          <w:szCs w:val="23"/>
          <w:lang w:eastAsia="tr-TR"/>
        </w:rPr>
        <w:t>ir.</w:t>
      </w:r>
      <w:r w:rsidRPr="00EC42C7">
        <w:rPr>
          <w:rFonts w:ascii="Arial Narrow" w:eastAsia="Times New Roman" w:hAnsi="Arial Narrow" w:cs="Times New Roman"/>
          <w:bCs/>
          <w:sz w:val="23"/>
          <w:szCs w:val="23"/>
          <w:lang w:eastAsia="tr-TR"/>
        </w:rPr>
        <w:t xml:space="preserve"> Ayrıca</w:t>
      </w:r>
      <w:r>
        <w:rPr>
          <w:rFonts w:ascii="Arial Narrow" w:eastAsia="Times New Roman" w:hAnsi="Arial Narrow" w:cs="Times New Roman"/>
          <w:bCs/>
          <w:sz w:val="23"/>
          <w:szCs w:val="23"/>
          <w:lang w:eastAsia="tr-TR"/>
        </w:rPr>
        <w:t>, başvurucunun</w:t>
      </w:r>
      <w:r w:rsidRPr="00EC42C7">
        <w:rPr>
          <w:rFonts w:ascii="Arial Narrow" w:eastAsia="Times New Roman" w:hAnsi="Arial Narrow" w:cs="Times New Roman"/>
          <w:bCs/>
          <w:sz w:val="23"/>
          <w:szCs w:val="23"/>
          <w:lang w:eastAsia="tr-TR"/>
        </w:rPr>
        <w:t xml:space="preserve"> bu eylemleri yaparken</w:t>
      </w:r>
      <w:r>
        <w:rPr>
          <w:rFonts w:ascii="Arial Narrow" w:eastAsia="Times New Roman" w:hAnsi="Arial Narrow" w:cs="Times New Roman"/>
          <w:bCs/>
          <w:sz w:val="23"/>
          <w:szCs w:val="23"/>
          <w:lang w:eastAsia="tr-TR"/>
        </w:rPr>
        <w:t xml:space="preserve"> </w:t>
      </w:r>
      <w:r w:rsidRPr="00EC42C7">
        <w:rPr>
          <w:rFonts w:ascii="Arial Narrow" w:eastAsia="Times New Roman" w:hAnsi="Arial Narrow" w:cs="Times New Roman"/>
          <w:bCs/>
          <w:sz w:val="23"/>
          <w:szCs w:val="23"/>
          <w:lang w:eastAsia="tr-TR"/>
        </w:rPr>
        <w:t>de iddia edildiği gibi cemaatin belli amaçları silahla gerçekleştirme amacı olduğuna ve bu amacı bilerek ve isteyerek hareket ettiği</w:t>
      </w:r>
      <w:r>
        <w:rPr>
          <w:rFonts w:ascii="Arial Narrow" w:eastAsia="Times New Roman" w:hAnsi="Arial Narrow" w:cs="Times New Roman"/>
          <w:bCs/>
          <w:sz w:val="23"/>
          <w:szCs w:val="23"/>
          <w:lang w:eastAsia="tr-TR"/>
        </w:rPr>
        <w:t>n</w:t>
      </w:r>
      <w:r w:rsidRPr="00EC42C7">
        <w:rPr>
          <w:rFonts w:ascii="Arial Narrow" w:eastAsia="Times New Roman" w:hAnsi="Arial Narrow" w:cs="Times New Roman"/>
          <w:bCs/>
          <w:sz w:val="23"/>
          <w:szCs w:val="23"/>
          <w:lang w:eastAsia="tr-TR"/>
        </w:rPr>
        <w:t>e dair bir delil de yoktur.</w:t>
      </w:r>
    </w:p>
    <w:p w14:paraId="64C7D7F6" w14:textId="77777777" w:rsidR="00D7125A" w:rsidRPr="00EC42C7" w:rsidRDefault="00D7125A" w:rsidP="00D7125A">
      <w:pPr>
        <w:pStyle w:val="NormalWeb"/>
        <w:shd w:val="clear" w:color="auto" w:fill="FFFFFF"/>
        <w:spacing w:before="0" w:beforeAutospacing="0" w:after="120" w:afterAutospacing="0" w:line="276" w:lineRule="auto"/>
        <w:jc w:val="both"/>
        <w:rPr>
          <w:rStyle w:val="Gl"/>
          <w:rFonts w:ascii="Arial Narrow" w:hAnsi="Arial Narrow"/>
          <w:b w:val="0"/>
          <w:sz w:val="23"/>
          <w:szCs w:val="23"/>
          <w:bdr w:val="none" w:sz="0" w:space="0" w:color="auto" w:frame="1"/>
          <w:shd w:val="clear" w:color="auto" w:fill="FFFFFF"/>
        </w:rPr>
      </w:pPr>
      <w:r w:rsidRPr="00EC42C7">
        <w:rPr>
          <w:rFonts w:ascii="Arial Narrow" w:hAnsi="Arial Narrow"/>
          <w:bCs/>
          <w:sz w:val="23"/>
          <w:szCs w:val="23"/>
        </w:rPr>
        <w:t>İlk derece mahkemesi ve üst mahkemeler TCK’nın 314/2 maddesinin tamamen öngörülemez biçimde yorumlayarak yapıldıkları tarihte tamamen yasal ve hak kullanımı niteliğindeki, herhangi bir suç unsuru taşımayan eylemleri suç olarak değerlendirmişler ve ceza vermişlerdir. Nitekim yargı içtihatları uyarınca,</w:t>
      </w:r>
      <w:r w:rsidRPr="00EC42C7">
        <w:rPr>
          <w:rFonts w:ascii="Arial Narrow" w:hAnsi="Arial Narrow"/>
          <w:b/>
          <w:bCs/>
          <w:sz w:val="23"/>
          <w:szCs w:val="23"/>
        </w:rPr>
        <w:t xml:space="preserve"> </w:t>
      </w:r>
      <w:r w:rsidRPr="00EC42C7">
        <w:rPr>
          <w:rStyle w:val="Gl"/>
          <w:rFonts w:ascii="Arial Narrow" w:hAnsi="Arial Narrow"/>
          <w:b w:val="0"/>
          <w:sz w:val="23"/>
          <w:szCs w:val="23"/>
          <w:bdr w:val="none" w:sz="0" w:space="0" w:color="auto" w:frame="1"/>
          <w:shd w:val="clear" w:color="auto" w:fill="FFFFFF"/>
        </w:rPr>
        <w:t>yasal kuruluşların faaliyetleri çerçevesinde yapılıp meşru bir hakkın kullanılmasını içeren faaliyetler örgütsel kabul edilmemektedir.</w:t>
      </w:r>
      <w:r w:rsidRPr="00EC42C7">
        <w:rPr>
          <w:rStyle w:val="DipnotBavurusu"/>
          <w:rFonts w:ascii="Arial Narrow" w:hAnsi="Arial Narrow"/>
          <w:bCs/>
          <w:sz w:val="23"/>
          <w:szCs w:val="23"/>
          <w:bdr w:val="none" w:sz="0" w:space="0" w:color="auto" w:frame="1"/>
          <w:shd w:val="clear" w:color="auto" w:fill="FFFFFF"/>
        </w:rPr>
        <w:footnoteReference w:id="31"/>
      </w:r>
      <w:r w:rsidRPr="00EC42C7">
        <w:rPr>
          <w:rStyle w:val="Gl"/>
          <w:rFonts w:ascii="Arial Narrow" w:hAnsi="Arial Narrow"/>
          <w:b w:val="0"/>
          <w:sz w:val="23"/>
          <w:szCs w:val="23"/>
          <w:bdr w:val="none" w:sz="0" w:space="0" w:color="auto" w:frame="1"/>
          <w:shd w:val="clear" w:color="auto" w:fill="FFFFFF"/>
        </w:rPr>
        <w:t xml:space="preserve"> Bu durum da mahkemelerin yaptığı yorumla, silahlı terör örgütü üyeliği suçunun öngörülemez hale getirildiğinin diğer bir göstergesidir. </w:t>
      </w:r>
    </w:p>
    <w:p w14:paraId="61B4EE87" w14:textId="387F3BBE" w:rsidR="00D7125A" w:rsidRPr="00EC42C7" w:rsidRDefault="00D7125A" w:rsidP="00D7125A">
      <w:pPr>
        <w:pStyle w:val="NormalWeb"/>
        <w:shd w:val="clear" w:color="auto" w:fill="FFFFFF"/>
        <w:spacing w:before="0" w:beforeAutospacing="0" w:after="120" w:afterAutospacing="0" w:line="276" w:lineRule="auto"/>
        <w:jc w:val="both"/>
        <w:rPr>
          <w:rFonts w:ascii="Arial Narrow" w:hAnsi="Arial Narrow"/>
          <w:sz w:val="23"/>
          <w:szCs w:val="23"/>
        </w:rPr>
      </w:pPr>
      <w:r w:rsidRPr="00EC42C7">
        <w:rPr>
          <w:rFonts w:ascii="Arial Narrow" w:hAnsi="Arial Narrow"/>
          <w:sz w:val="23"/>
          <w:szCs w:val="23"/>
        </w:rPr>
        <w:t>Gerçekten de, kriter adı altında yargılamaya gerekçe yapılan hususların yelpazesi o kadar geniştir ki, bu kriterlerle ülkede terör örgütü üyeliğinden ceza almayacak kimse neredeyse yoktur ve bu kriterler nedeniyle cezalandırılıp cezalandırılmamak tamamen uygulayıcıların insafına kalmıştır. İşte bu nedenlerle AİHM, 314. maddenin öngörülebilir olmadığını ve yasal bir faaliyetin bile terör örgütü üyeliğiyle suçlanmak için yeterli olduğunu belirtmiştir.</w:t>
      </w:r>
      <w:r w:rsidRPr="00EC42C7">
        <w:rPr>
          <w:rStyle w:val="DipnotBavurusu"/>
          <w:rFonts w:ascii="Arial Narrow" w:hAnsi="Arial Narrow"/>
          <w:bCs/>
          <w:sz w:val="23"/>
          <w:szCs w:val="23"/>
        </w:rPr>
        <w:footnoteReference w:id="32"/>
      </w:r>
      <w:r w:rsidRPr="00EC42C7">
        <w:rPr>
          <w:rStyle w:val="DipnotBavurusu"/>
          <w:rFonts w:ascii="Arial Narrow" w:hAnsi="Arial Narrow"/>
          <w:bCs/>
          <w:sz w:val="23"/>
          <w:szCs w:val="23"/>
          <w:bdr w:val="none" w:sz="0" w:space="0" w:color="auto" w:frame="1"/>
          <w:shd w:val="clear" w:color="auto" w:fill="FFFFFF"/>
        </w:rPr>
        <w:t xml:space="preserve"> </w:t>
      </w:r>
    </w:p>
    <w:p w14:paraId="752F9C0A" w14:textId="77777777" w:rsidR="00D7125A" w:rsidRPr="00EC42C7" w:rsidRDefault="00D7125A" w:rsidP="00D7125A">
      <w:pPr>
        <w:autoSpaceDE w:val="0"/>
        <w:autoSpaceDN w:val="0"/>
        <w:adjustRightInd w:val="0"/>
        <w:spacing w:after="120"/>
        <w:jc w:val="both"/>
        <w:rPr>
          <w:rFonts w:ascii="Arial Narrow" w:hAnsi="Arial Narrow" w:cs="Times New Roman"/>
          <w:bCs/>
          <w:sz w:val="23"/>
          <w:szCs w:val="23"/>
        </w:rPr>
      </w:pPr>
      <w:r w:rsidRPr="00EC42C7">
        <w:rPr>
          <w:rFonts w:ascii="Arial Narrow" w:eastAsia="Times New Roman" w:hAnsi="Arial Narrow" w:cs="Times New Roman"/>
          <w:sz w:val="23"/>
          <w:szCs w:val="23"/>
          <w:lang w:eastAsia="tr-TR"/>
        </w:rPr>
        <w:t>Konuyla ilgili Venedik Komisyonu da 314. maddenin ölçüsüz müeyyideler öngördüğünü, çok geniş kapsamlı uygulandığını ve Kişisel ve Siyasal Haklar Sözleşmesi ile AİHS’te korunan hakları cezalandırma konusu yaptığını belirtmiştir. Yine Komisyona göre; maddenin bu uluslararası sözleşmelere uygun hale getirilebilmesi için radikal olarak farklı bir şekilde uygulanması ve Yargıtay içtihatlarında belirtildiği şekliyle, sanıklara isnat edilen eylemlerin </w:t>
      </w:r>
      <w:r w:rsidRPr="00EC42C7">
        <w:rPr>
          <w:rFonts w:ascii="Arial Narrow" w:eastAsia="Times New Roman" w:hAnsi="Arial Narrow" w:cs="Times New Roman"/>
          <w:i/>
          <w:iCs/>
          <w:sz w:val="23"/>
          <w:szCs w:val="23"/>
          <w:lang w:eastAsia="tr-TR"/>
        </w:rPr>
        <w:t>“devamlılık, çeşitlilik ve yoğunluk”</w:t>
      </w:r>
      <w:r w:rsidRPr="00EC42C7">
        <w:rPr>
          <w:rFonts w:ascii="Arial Narrow" w:eastAsia="Times New Roman" w:hAnsi="Arial Narrow" w:cs="Times New Roman"/>
          <w:sz w:val="23"/>
          <w:szCs w:val="23"/>
          <w:lang w:eastAsia="tr-TR"/>
        </w:rPr>
        <w:t> gösterdiğinin ve silahlı terör örgütüyle </w:t>
      </w:r>
      <w:r w:rsidRPr="00EC42C7">
        <w:rPr>
          <w:rFonts w:ascii="Arial Narrow" w:eastAsia="Times New Roman" w:hAnsi="Arial Narrow" w:cs="Times New Roman"/>
          <w:i/>
          <w:iCs/>
          <w:sz w:val="23"/>
          <w:szCs w:val="23"/>
          <w:lang w:eastAsia="tr-TR"/>
        </w:rPr>
        <w:t>“organik bir bağı”</w:t>
      </w:r>
      <w:r w:rsidRPr="00EC42C7">
        <w:rPr>
          <w:rFonts w:ascii="Arial Narrow" w:eastAsia="Times New Roman" w:hAnsi="Arial Narrow" w:cs="Times New Roman"/>
          <w:sz w:val="23"/>
          <w:szCs w:val="23"/>
          <w:lang w:eastAsia="tr-TR"/>
        </w:rPr>
        <w:t> olduğunun ortaya konulması veya eylemlerinin örgütün </w:t>
      </w:r>
      <w:r w:rsidRPr="00EC42C7">
        <w:rPr>
          <w:rFonts w:ascii="Arial Narrow" w:eastAsia="Times New Roman" w:hAnsi="Arial Narrow" w:cs="Times New Roman"/>
          <w:i/>
          <w:iCs/>
          <w:sz w:val="23"/>
          <w:szCs w:val="23"/>
          <w:lang w:eastAsia="tr-TR"/>
        </w:rPr>
        <w:t>“hiyerarşik yapısı içinde”</w:t>
      </w:r>
      <w:r w:rsidRPr="00EC42C7">
        <w:rPr>
          <w:rFonts w:ascii="Arial Narrow" w:eastAsia="Times New Roman" w:hAnsi="Arial Narrow" w:cs="Times New Roman"/>
          <w:sz w:val="23"/>
          <w:szCs w:val="23"/>
          <w:lang w:eastAsia="tr-TR"/>
        </w:rPr>
        <w:t> bilerek ve istenerek gerçekleştirilen eylemler olarak değerlendirilmesine ilişkin kriterlerin katı bir şekilde uygulanması gerekmektedir.</w:t>
      </w:r>
      <w:r w:rsidRPr="00EC42C7">
        <w:rPr>
          <w:rStyle w:val="DipnotBavurusu"/>
          <w:rFonts w:ascii="Arial Narrow" w:hAnsi="Arial Narrow"/>
          <w:sz w:val="23"/>
          <w:szCs w:val="23"/>
          <w:lang w:eastAsia="tr-TR"/>
        </w:rPr>
        <w:footnoteReference w:id="33"/>
      </w:r>
    </w:p>
    <w:p w14:paraId="13FA80BA" w14:textId="79C424E1" w:rsidR="00577FC1" w:rsidRPr="00852BA3" w:rsidRDefault="00412DA3" w:rsidP="00D7125A">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ind w:right="-1"/>
        <w:jc w:val="both"/>
        <w:rPr>
          <w:rFonts w:ascii="Arial Narrow" w:hAnsi="Arial Narrow" w:cs="Times New Roman"/>
          <w:b/>
          <w:sz w:val="23"/>
          <w:szCs w:val="23"/>
        </w:rPr>
      </w:pPr>
      <w:r>
        <w:rPr>
          <w:rFonts w:ascii="Arial Narrow" w:hAnsi="Arial Narrow" w:cs="Times New Roman"/>
          <w:b/>
          <w:sz w:val="23"/>
          <w:szCs w:val="23"/>
        </w:rPr>
        <w:t>7</w:t>
      </w:r>
      <w:r w:rsidR="00577FC1" w:rsidRPr="00852BA3">
        <w:rPr>
          <w:rFonts w:ascii="Arial Narrow" w:hAnsi="Arial Narrow" w:cs="Times New Roman"/>
          <w:b/>
          <w:sz w:val="23"/>
          <w:szCs w:val="23"/>
        </w:rPr>
        <w:t>) Özel Hayata ve Haberleşmenin Gizliliğine Saygı Hakkı</w:t>
      </w:r>
    </w:p>
    <w:p w14:paraId="78AEA8F5" w14:textId="77777777" w:rsidR="00D7125A" w:rsidRPr="00EC42C7" w:rsidRDefault="00D7125A" w:rsidP="00D7125A">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EC42C7">
        <w:rPr>
          <w:rFonts w:ascii="Arial Narrow" w:hAnsi="Arial Narrow" w:cs="Times New Roman"/>
          <w:sz w:val="23"/>
          <w:szCs w:val="23"/>
        </w:rPr>
        <w:t xml:space="preserve">... tarihinde </w:t>
      </w:r>
      <w:r>
        <w:rPr>
          <w:rFonts w:ascii="Arial Narrow" w:hAnsi="Arial Narrow" w:cs="Times New Roman"/>
          <w:sz w:val="23"/>
          <w:szCs w:val="23"/>
        </w:rPr>
        <w:t xml:space="preserve">başvurucunun </w:t>
      </w:r>
      <w:r w:rsidRPr="00EC42C7">
        <w:rPr>
          <w:rFonts w:ascii="Arial Narrow" w:hAnsi="Arial Narrow" w:cs="Times New Roman"/>
          <w:sz w:val="23"/>
          <w:szCs w:val="23"/>
        </w:rPr>
        <w:t>evi</w:t>
      </w:r>
      <w:r>
        <w:rPr>
          <w:rFonts w:ascii="Arial Narrow" w:hAnsi="Arial Narrow" w:cs="Times New Roman"/>
          <w:sz w:val="23"/>
          <w:szCs w:val="23"/>
        </w:rPr>
        <w:t>n</w:t>
      </w:r>
      <w:r w:rsidRPr="00EC42C7">
        <w:rPr>
          <w:rFonts w:ascii="Arial Narrow" w:hAnsi="Arial Narrow" w:cs="Times New Roman"/>
          <w:sz w:val="23"/>
          <w:szCs w:val="23"/>
        </w:rPr>
        <w:t>de/aracı</w:t>
      </w:r>
      <w:r>
        <w:rPr>
          <w:rFonts w:ascii="Arial Narrow" w:hAnsi="Arial Narrow" w:cs="Times New Roman"/>
          <w:sz w:val="23"/>
          <w:szCs w:val="23"/>
        </w:rPr>
        <w:t>n</w:t>
      </w:r>
      <w:r w:rsidRPr="00EC42C7">
        <w:rPr>
          <w:rFonts w:ascii="Arial Narrow" w:hAnsi="Arial Narrow" w:cs="Times New Roman"/>
          <w:sz w:val="23"/>
          <w:szCs w:val="23"/>
        </w:rPr>
        <w:t>da/işyeri</w:t>
      </w:r>
      <w:r>
        <w:rPr>
          <w:rFonts w:ascii="Arial Narrow" w:hAnsi="Arial Narrow" w:cs="Times New Roman"/>
          <w:sz w:val="23"/>
          <w:szCs w:val="23"/>
        </w:rPr>
        <w:t>n</w:t>
      </w:r>
      <w:r w:rsidRPr="00EC42C7">
        <w:rPr>
          <w:rFonts w:ascii="Arial Narrow" w:hAnsi="Arial Narrow" w:cs="Times New Roman"/>
          <w:sz w:val="23"/>
          <w:szCs w:val="23"/>
        </w:rPr>
        <w:t>de arama yapılmış ve kişisel bilgileri</w:t>
      </w:r>
      <w:r>
        <w:rPr>
          <w:rFonts w:ascii="Arial Narrow" w:hAnsi="Arial Narrow" w:cs="Times New Roman"/>
          <w:sz w:val="23"/>
          <w:szCs w:val="23"/>
        </w:rPr>
        <w:t>n</w:t>
      </w:r>
      <w:r w:rsidRPr="00EC42C7">
        <w:rPr>
          <w:rFonts w:ascii="Arial Narrow" w:hAnsi="Arial Narrow" w:cs="Times New Roman"/>
          <w:sz w:val="23"/>
          <w:szCs w:val="23"/>
        </w:rPr>
        <w:t>i içeren cep telefonu</w:t>
      </w:r>
      <w:r>
        <w:rPr>
          <w:rFonts w:ascii="Arial Narrow" w:hAnsi="Arial Narrow" w:cs="Times New Roman"/>
          <w:sz w:val="23"/>
          <w:szCs w:val="23"/>
        </w:rPr>
        <w:t>n</w:t>
      </w:r>
      <w:r w:rsidRPr="00EC42C7">
        <w:rPr>
          <w:rFonts w:ascii="Arial Narrow" w:hAnsi="Arial Narrow" w:cs="Times New Roman"/>
          <w:sz w:val="23"/>
          <w:szCs w:val="23"/>
        </w:rPr>
        <w:t>a, bilgisayarı</w:t>
      </w:r>
      <w:r>
        <w:rPr>
          <w:rFonts w:ascii="Arial Narrow" w:hAnsi="Arial Narrow" w:cs="Times New Roman"/>
          <w:sz w:val="23"/>
          <w:szCs w:val="23"/>
        </w:rPr>
        <w:t>n</w:t>
      </w:r>
      <w:r w:rsidRPr="00EC42C7">
        <w:rPr>
          <w:rFonts w:ascii="Arial Narrow" w:hAnsi="Arial Narrow" w:cs="Times New Roman"/>
          <w:sz w:val="23"/>
          <w:szCs w:val="23"/>
        </w:rPr>
        <w:t xml:space="preserve">a el konulmuş; CMK hükümlerine aykırı olarak el koyma esnasında bu dijital materyallerin imajı alınmamış ve bir örneği </w:t>
      </w:r>
      <w:r>
        <w:rPr>
          <w:rFonts w:ascii="Arial Narrow" w:hAnsi="Arial Narrow" w:cs="Times New Roman"/>
          <w:sz w:val="23"/>
          <w:szCs w:val="23"/>
        </w:rPr>
        <w:t>kendisine</w:t>
      </w:r>
      <w:r w:rsidRPr="00EC42C7">
        <w:rPr>
          <w:rFonts w:ascii="Arial Narrow" w:hAnsi="Arial Narrow" w:cs="Times New Roman"/>
          <w:sz w:val="23"/>
          <w:szCs w:val="23"/>
        </w:rPr>
        <w:t xml:space="preserve"> verilmemiştir.</w:t>
      </w:r>
    </w:p>
    <w:p w14:paraId="5F94BC6F" w14:textId="77777777" w:rsidR="00D7125A" w:rsidRPr="00EC42C7" w:rsidRDefault="00D7125A" w:rsidP="00D7125A">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EC42C7">
        <w:rPr>
          <w:rFonts w:ascii="Arial Narrow" w:hAnsi="Arial Narrow" w:cs="Times New Roman"/>
          <w:sz w:val="23"/>
          <w:szCs w:val="23"/>
        </w:rPr>
        <w:t>Avukatla olan görüşmelerin izlenmesi, belgelerin denetlenmesi ve mektupların incelenmesi yoluyla da avukat müvekkil mahremiyetine haksız ve gereksiz bir şekilde müdahale edilmiştir.</w:t>
      </w:r>
    </w:p>
    <w:p w14:paraId="680DCADC" w14:textId="77777777" w:rsidR="00D7125A" w:rsidRPr="00EC42C7" w:rsidRDefault="00D7125A" w:rsidP="00D7125A">
      <w:pPr>
        <w:tabs>
          <w:tab w:val="left" w:pos="284"/>
          <w:tab w:val="left" w:pos="567"/>
          <w:tab w:val="left" w:pos="851"/>
          <w:tab w:val="left" w:pos="1134"/>
          <w:tab w:val="left" w:pos="1418"/>
        </w:tabs>
        <w:spacing w:after="120"/>
        <w:jc w:val="both"/>
        <w:rPr>
          <w:rFonts w:ascii="Arial Narrow" w:hAnsi="Arial Narrow" w:cs="Times New Roman"/>
          <w:sz w:val="23"/>
          <w:szCs w:val="23"/>
        </w:rPr>
      </w:pPr>
      <w:r w:rsidRPr="00EC42C7">
        <w:rPr>
          <w:rFonts w:ascii="Arial Narrow" w:hAnsi="Arial Narrow" w:cs="Times New Roman"/>
          <w:sz w:val="23"/>
          <w:szCs w:val="23"/>
        </w:rPr>
        <w:t>Ayrıca, h</w:t>
      </w:r>
      <w:r w:rsidRPr="00EC42C7">
        <w:rPr>
          <w:rFonts w:ascii="Arial Narrow" w:hAnsi="Arial Narrow" w:cs="Times New Roman"/>
          <w:color w:val="222222"/>
          <w:sz w:val="23"/>
          <w:szCs w:val="23"/>
          <w:shd w:val="clear" w:color="auto" w:fill="FFFFFF"/>
        </w:rPr>
        <w:t>aberleşmeleri</w:t>
      </w:r>
      <w:r>
        <w:rPr>
          <w:rFonts w:ascii="Arial Narrow" w:hAnsi="Arial Narrow" w:cs="Times New Roman"/>
          <w:color w:val="222222"/>
          <w:sz w:val="23"/>
          <w:szCs w:val="23"/>
          <w:shd w:val="clear" w:color="auto" w:fill="FFFFFF"/>
        </w:rPr>
        <w:t>n</w:t>
      </w:r>
      <w:r w:rsidRPr="00EC42C7">
        <w:rPr>
          <w:rFonts w:ascii="Arial Narrow" w:hAnsi="Arial Narrow" w:cs="Times New Roman"/>
          <w:color w:val="222222"/>
          <w:sz w:val="23"/>
          <w:szCs w:val="23"/>
          <w:shd w:val="clear" w:color="auto" w:fill="FFFFFF"/>
        </w:rPr>
        <w:t>e ilişkin internet trafik bilgilerim/telefon görüşme kayıtları (HTS); …. isimli haberleşme uygulamasını kullandığı/hakkında soruşturma ve kovuşturma bulunan bazı kişilerle geçmişe görüştüğü/telefonu</w:t>
      </w:r>
      <w:r>
        <w:rPr>
          <w:rFonts w:ascii="Arial Narrow" w:hAnsi="Arial Narrow" w:cs="Times New Roman"/>
          <w:color w:val="222222"/>
          <w:sz w:val="23"/>
          <w:szCs w:val="23"/>
          <w:shd w:val="clear" w:color="auto" w:fill="FFFFFF"/>
        </w:rPr>
        <w:t>n</w:t>
      </w:r>
      <w:r w:rsidRPr="00EC42C7">
        <w:rPr>
          <w:rFonts w:ascii="Arial Narrow" w:hAnsi="Arial Narrow" w:cs="Times New Roman"/>
          <w:color w:val="222222"/>
          <w:sz w:val="23"/>
          <w:szCs w:val="23"/>
          <w:shd w:val="clear" w:color="auto" w:fill="FFFFFF"/>
        </w:rPr>
        <w:t xml:space="preserve">un </w:t>
      </w:r>
      <w:r w:rsidRPr="00EC42C7">
        <w:rPr>
          <w:rFonts w:ascii="Arial Narrow" w:hAnsi="Arial Narrow" w:cs="Times New Roman"/>
          <w:color w:val="222222"/>
          <w:sz w:val="23"/>
          <w:szCs w:val="23"/>
          <w:shd w:val="clear" w:color="auto" w:fill="FFFFFF"/>
        </w:rPr>
        <w:lastRenderedPageBreak/>
        <w:t xml:space="preserve">aynı baz istasyonundan sinyal verdiği iddialarıyla dosyaya getirtilmiş </w:t>
      </w:r>
      <w:r w:rsidRPr="00EC42C7">
        <w:rPr>
          <w:rFonts w:ascii="Arial Narrow" w:hAnsi="Arial Narrow" w:cs="Times New Roman"/>
          <w:b/>
          <w:color w:val="222222"/>
          <w:sz w:val="23"/>
          <w:szCs w:val="23"/>
          <w:shd w:val="clear" w:color="auto" w:fill="FFFFFF"/>
        </w:rPr>
        <w:t>(Bu kayıtlar ve bilgiler (/) işaretiyle ayrılan sebeplerden hangisi ya da hangilerine dayanılarak istenmişse o sebepler yazılmalı)</w:t>
      </w:r>
      <w:r w:rsidRPr="00EC42C7">
        <w:rPr>
          <w:rFonts w:ascii="Arial Narrow" w:hAnsi="Arial Narrow" w:cs="Times New Roman"/>
          <w:color w:val="222222"/>
          <w:sz w:val="23"/>
          <w:szCs w:val="23"/>
          <w:shd w:val="clear" w:color="auto" w:fill="FFFFFF"/>
        </w:rPr>
        <w:t xml:space="preserve"> ve bu bilgi ve kayıtlar örgüt üyeliğinden/yardımdan mahkumiyete gerekçe yapılmıştır. Ancak, bu bilgi ve kayıtlar g</w:t>
      </w:r>
      <w:r w:rsidRPr="00EC42C7">
        <w:rPr>
          <w:rFonts w:ascii="Arial Narrow" w:hAnsi="Arial Narrow" w:cs="Times New Roman"/>
          <w:sz w:val="23"/>
          <w:szCs w:val="23"/>
        </w:rPr>
        <w:t>erekli usullere uyulmadan ve buna izin veren bir yasal düzenleme olmaksızın ele geçirilmiş ve işlenmiştir.</w:t>
      </w:r>
      <w:r w:rsidRPr="00EC42C7">
        <w:rPr>
          <w:rFonts w:ascii="Arial Narrow" w:hAnsi="Arial Narrow" w:cs="Times New Roman"/>
          <w:color w:val="222222"/>
          <w:sz w:val="23"/>
          <w:szCs w:val="23"/>
          <w:shd w:val="clear" w:color="auto" w:fill="FFFFFF"/>
        </w:rPr>
        <w:t xml:space="preserve"> Şöyle ki; 5809 sayılı Elektronik Haberleşme Kanunu’nun 51/10. maddesinde; kişisel veri niteliğindeki</w:t>
      </w:r>
      <w:r w:rsidRPr="00EC42C7">
        <w:rPr>
          <w:rFonts w:ascii="Arial Narrow" w:hAnsi="Arial Narrow" w:cs="Times New Roman"/>
          <w:b/>
          <w:color w:val="222222"/>
          <w:sz w:val="23"/>
          <w:szCs w:val="23"/>
          <w:shd w:val="clear" w:color="auto" w:fill="FFFFFF"/>
        </w:rPr>
        <w:t xml:space="preserve"> </w:t>
      </w:r>
      <w:r w:rsidRPr="00EC42C7">
        <w:rPr>
          <w:rFonts w:ascii="Arial Narrow" w:hAnsi="Arial Narrow" w:cs="Times New Roman"/>
          <w:sz w:val="23"/>
          <w:szCs w:val="23"/>
        </w:rPr>
        <w:t>internet trafik verilerinin, haberleşmenin yapıldığı tarihten itibaren bir yıldan az ve iki yıldan fazla olmamak üzere saklanacağı ve saklanma sürelerinin yönetmelikle belirleneceği belirtilmiştir. Bu Kanuna dayanılarak çıkarılan Elektronik Haberleşme Sektörüne İlişkin Yetkilendirme Yönetmeliği ve Elektronik Haberleşme Sektöründe Kişisel Verilerin İşlenmesi ve Gizliliğinin Korunması Hakkında Yönetmeliğin 14/1 ve Elektronik Haberleşme Sektörüne İlişkin Yetkilendirme Yönetmeliği’nin 19/1-f maddeleri uyarınca da GSM şirketleri bu bilgileri en fazla bir yıl saklayabilirler. Gerçekleşmeyen (0 saniye) aramalara ilişkin kayıtların ise üç ay süreyle saklanabilecektir.</w:t>
      </w:r>
    </w:p>
    <w:p w14:paraId="742C4045" w14:textId="77777777" w:rsidR="00D7125A" w:rsidRPr="00EC42C7" w:rsidRDefault="00D7125A" w:rsidP="00D7125A">
      <w:pPr>
        <w:tabs>
          <w:tab w:val="left" w:pos="284"/>
          <w:tab w:val="left" w:pos="567"/>
          <w:tab w:val="left" w:pos="851"/>
          <w:tab w:val="left" w:pos="1134"/>
          <w:tab w:val="left" w:pos="1418"/>
        </w:tabs>
        <w:spacing w:after="120"/>
        <w:jc w:val="both"/>
        <w:rPr>
          <w:rFonts w:ascii="Arial Narrow" w:hAnsi="Arial Narrow" w:cs="Times New Roman"/>
          <w:iCs/>
          <w:sz w:val="23"/>
          <w:szCs w:val="23"/>
        </w:rPr>
      </w:pPr>
      <w:r w:rsidRPr="00EC42C7">
        <w:rPr>
          <w:rFonts w:ascii="Arial Narrow" w:hAnsi="Arial Narrow" w:cs="Times New Roman"/>
          <w:iCs/>
          <w:sz w:val="23"/>
          <w:szCs w:val="23"/>
        </w:rPr>
        <w:t xml:space="preserve">Yönetmelik metninden de anlaşılacağı üzere, yargılamaya konu HTS kayıtlarının ait olduğu dönem dikkate alındığında, saklanma süreleri gerçekleşen aramalar bakımından en fazla bir yıl ve gerçekleşmeyen aramalar bakımından 3 aydır. Bu sürelerden daha fazla bu bilgilerin saklanması özel hayatın gizliliğinin ihlaline neden olmakta ve bu bilgileri hukuka aykırı hale getirmektedir. </w:t>
      </w:r>
    </w:p>
    <w:p w14:paraId="60AA9BEA" w14:textId="77777777" w:rsidR="00D7125A" w:rsidRPr="00EC42C7" w:rsidRDefault="00D7125A" w:rsidP="00D7125A">
      <w:pPr>
        <w:tabs>
          <w:tab w:val="left" w:pos="284"/>
          <w:tab w:val="left" w:pos="567"/>
          <w:tab w:val="left" w:pos="851"/>
          <w:tab w:val="left" w:pos="1134"/>
          <w:tab w:val="left" w:pos="1418"/>
        </w:tabs>
        <w:spacing w:after="120"/>
        <w:jc w:val="both"/>
        <w:rPr>
          <w:rFonts w:ascii="Arial Narrow" w:hAnsi="Arial Narrow" w:cs="Times New Roman"/>
          <w:iCs/>
          <w:sz w:val="23"/>
          <w:szCs w:val="23"/>
        </w:rPr>
      </w:pPr>
      <w:r w:rsidRPr="00EC42C7">
        <w:rPr>
          <w:rFonts w:ascii="Arial Narrow" w:hAnsi="Arial Narrow" w:cs="Times New Roman"/>
          <w:iCs/>
          <w:sz w:val="23"/>
          <w:szCs w:val="23"/>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EC42C7">
        <w:rPr>
          <w:rFonts w:ascii="Arial Narrow" w:hAnsi="Arial Narrow" w:cs="Times New Roman"/>
          <w:i/>
          <w:iCs/>
          <w:sz w:val="23"/>
          <w:szCs w:val="23"/>
        </w:rPr>
        <w:t xml:space="preserve"> </w:t>
      </w:r>
      <w:r w:rsidRPr="00EC42C7">
        <w:rPr>
          <w:rFonts w:ascii="Arial Narrow" w:hAnsi="Arial Narrow" w:cs="Times New Roman"/>
          <w:iCs/>
          <w:sz w:val="23"/>
          <w:szCs w:val="23"/>
        </w:rPr>
        <w:t>kabulü, verilmeyen bir yetkinin keyfi olarak erişim ve yer sağlayıcılar tarafından kullanılması anlamına gelir ki bu durum hukuka aykırıdır.</w:t>
      </w:r>
    </w:p>
    <w:p w14:paraId="0C2C3BCC" w14:textId="77777777" w:rsidR="00D7125A" w:rsidRPr="00EC42C7" w:rsidRDefault="00D7125A" w:rsidP="00D7125A">
      <w:pPr>
        <w:tabs>
          <w:tab w:val="left" w:pos="284"/>
          <w:tab w:val="left" w:pos="567"/>
          <w:tab w:val="left" w:pos="851"/>
          <w:tab w:val="left" w:pos="1134"/>
          <w:tab w:val="left" w:pos="1418"/>
        </w:tabs>
        <w:spacing w:after="120"/>
        <w:jc w:val="both"/>
        <w:rPr>
          <w:rFonts w:ascii="Arial Narrow" w:hAnsi="Arial Narrow" w:cs="Times New Roman"/>
          <w:spacing w:val="-1"/>
          <w:sz w:val="23"/>
          <w:szCs w:val="23"/>
        </w:rPr>
      </w:pPr>
      <w:r w:rsidRPr="00EC42C7">
        <w:rPr>
          <w:rFonts w:ascii="Arial Narrow" w:hAnsi="Arial Narrow" w:cs="Times New Roman"/>
          <w:spacing w:val="-1"/>
          <w:sz w:val="23"/>
          <w:szCs w:val="23"/>
        </w:rPr>
        <w:t xml:space="preserve">Mevzuattaki bu açık hükümlere rağmen; yasal süresi geçmiş HTS kayıtlarının, </w:t>
      </w:r>
      <w:r w:rsidRPr="00EC42C7">
        <w:rPr>
          <w:rFonts w:ascii="Arial Narrow" w:hAnsi="Arial Narrow" w:cs="Times New Roman"/>
          <w:sz w:val="23"/>
          <w:szCs w:val="23"/>
        </w:rPr>
        <w:t>buna izin veren bir düzenleme olmaksızın BTK tarafından bir şekilde fiilen saklandığı veya elde edildiği</w:t>
      </w:r>
      <w:r w:rsidRPr="00EC42C7">
        <w:rPr>
          <w:rFonts w:ascii="Arial Narrow" w:hAnsi="Arial Narrow" w:cs="Times New Roman"/>
          <w:spacing w:val="-1"/>
          <w:sz w:val="23"/>
          <w:szCs w:val="23"/>
        </w:rPr>
        <w:t xml:space="preserve"> anlaşılmaktadır. Bu kayıtlar yargılama makamlarına sunulmuş, bunu yapan kişi ve kurumlar hakkında hiçbir cezai takibatın yapılmamıştır. Belirtilen kayıtların hukuka aykırılık oluşturduğu ise yargılamayı yürüten mahkemeler tarafından göz ardı edilmiş, hukuka aykırı bu bilgiler yargılamaya esas alınmış ve dosyaya konulmak suretiyle alenileştirilmiştir.</w:t>
      </w:r>
    </w:p>
    <w:p w14:paraId="17FEC825" w14:textId="57F9DD84" w:rsidR="00D7125A" w:rsidRPr="00E16BB4" w:rsidRDefault="00412DA3" w:rsidP="00D7125A">
      <w:pPr>
        <w:spacing w:after="120"/>
        <w:jc w:val="both"/>
        <w:rPr>
          <w:rFonts w:ascii="Arial Narrow" w:hAnsi="Arial Narrow"/>
          <w:b/>
          <w:bCs/>
          <w:color w:val="000000" w:themeColor="text1"/>
          <w:sz w:val="23"/>
          <w:szCs w:val="23"/>
        </w:rPr>
      </w:pPr>
      <w:r>
        <w:rPr>
          <w:rFonts w:ascii="Arial Narrow" w:hAnsi="Arial Narrow"/>
          <w:b/>
          <w:bCs/>
          <w:color w:val="000000" w:themeColor="text1"/>
          <w:sz w:val="23"/>
          <w:szCs w:val="23"/>
        </w:rPr>
        <w:t>8</w:t>
      </w:r>
      <w:r w:rsidR="001B1F06">
        <w:rPr>
          <w:rFonts w:ascii="Arial Narrow" w:hAnsi="Arial Narrow"/>
          <w:b/>
          <w:bCs/>
          <w:color w:val="000000" w:themeColor="text1"/>
          <w:sz w:val="23"/>
          <w:szCs w:val="23"/>
        </w:rPr>
        <w:t>)</w:t>
      </w:r>
      <w:r w:rsidR="00D7125A">
        <w:rPr>
          <w:rFonts w:ascii="Arial Narrow" w:hAnsi="Arial Narrow"/>
          <w:b/>
          <w:bCs/>
          <w:color w:val="000000" w:themeColor="text1"/>
          <w:sz w:val="23"/>
          <w:szCs w:val="23"/>
        </w:rPr>
        <w:t xml:space="preserve"> </w:t>
      </w:r>
      <w:r w:rsidR="00D7125A" w:rsidRPr="00E16BB4">
        <w:rPr>
          <w:rFonts w:ascii="Arial Narrow" w:hAnsi="Arial Narrow"/>
          <w:b/>
          <w:bCs/>
          <w:color w:val="000000" w:themeColor="text1"/>
          <w:sz w:val="23"/>
          <w:szCs w:val="23"/>
        </w:rPr>
        <w:t>Hakların Kısıtlanmasının Sınırları İlkesi (AİHS m.18):</w:t>
      </w:r>
    </w:p>
    <w:p w14:paraId="2450EE69" w14:textId="77777777" w:rsidR="00D7125A" w:rsidRPr="00FA4B62" w:rsidRDefault="00D7125A" w:rsidP="00D7125A">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AİHS ve Anayasa, devlete temel hak ve özgürlüklerin yok edilmesi veya bunların Anayasa ve Sözleşme'de öngörülmüş olandan daha geniş ölçüde sınırlandırılmalarını amaçlayan bir etkinliğe girişme ya da eylemde bulunma hakkı verdiği biçiminde yorumlanamayacağını kabul etmiştir. Anılan hak ve özgürlüklere Anayasa ve Sözleşme hükümleri ile izin verilen kısıtlamalar öngörüldükleri amaç dışında uygulanamaz. AİHMin Demirtaş ve Kavala kararlarında da vurgulandığı gibi, idare başvurucu ve benzer kişiler hakkında gizli bir amaç ve hedef ile politik avantajlar sağlamak gayesiyle yaptırımlar uygulamaktadır. İdare, başvurucu ve benzerlerinin gerçekte bir suça karıştıklarından dolayı değil, politik hedeflerine daha rahat ulaşma ve devlet yapılanması ve işleyişinde istediği manevrayı yapma amacıyla hak ihlalinde bulunmaktadır. Bir idari ve adli süreç beklenmeden bir milyona varan soruşturma, yüzbinleri aşan işten çıkarma, milyar dolarları bulan malvarlıklarına el koyma başka bir şekilde izah edilemez. 9 yılı aşkın bir süredir devam eden ve başvurucuyu da doğrudan etkileyen bu durum darbe girişiminin bastırılması ile izah edilemez. İdare açıkça Anayasa'nın kendisine sağlamış olduğu belli şartlar altında haklanı kısıtlama yetkisini aşmış ve bunu gizli amaçlarına hizmet etmek üzere kötüye kullanmıştır. Devlet, Gülen Hareketi mensubu olduklarını iddia ettiği kişiler hakkında sadece bir düşünce ve inanç sivil toplum kuruluşunun üyeleri veya takipçileri olmaları nedeniyle ayrımcı bir muamele uygulamış ve s</w:t>
      </w:r>
      <w:r>
        <w:rPr>
          <w:rFonts w:ascii="Arial Narrow" w:hAnsi="Arial Narrow"/>
          <w:color w:val="000000" w:themeColor="text1"/>
          <w:sz w:val="23"/>
          <w:szCs w:val="23"/>
        </w:rPr>
        <w:t>ı</w:t>
      </w:r>
      <w:r w:rsidRPr="00FA4B62">
        <w:rPr>
          <w:rFonts w:ascii="Arial Narrow" w:hAnsi="Arial Narrow"/>
          <w:color w:val="000000" w:themeColor="text1"/>
          <w:sz w:val="23"/>
          <w:szCs w:val="23"/>
        </w:rPr>
        <w:t>rf bu kimlik aidiyeti nedeniyle onlan yok etmeyi hedefleyerek sözleşmenin kendisine tanıdığı haklanı ayrımcı muamele zemininde kötüye kullanmıştır (AİHS'nin 18. maddesi ihlal edilmiştir). Bu konuda BM Haksız Tutuklama Çalışma Grubu Mestan Yayman (A/HRC/WGAD/2018/42), Hamza Yaman (A/HRC/WGAD/2018/78) ve diğer bir çok kararında "FETÖ/PDY” suçlaması ile muhatap olanlara yönelik yaşanan ihlallerin ayrımcılık temelli olduğu tespitlerine yer verilmiştir.</w:t>
      </w:r>
    </w:p>
    <w:p w14:paraId="4FD70A1C" w14:textId="77777777" w:rsidR="00D7125A" w:rsidRPr="00FA4B62" w:rsidRDefault="00D7125A" w:rsidP="00D7125A">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 xml:space="preserve">AİHM'in 18. madde için belirlediği kriterlerin ve içtihatlarında ihlal nedeni saydığı gerekçelerin hepsi "FETÖ/PDY" iddiasıyla yapılan işlemler için de geçerlidir ve hatta fazlasıyla mevcuttur. İlk olarak, AİHM kararlarında kısıtlamanın </w:t>
      </w:r>
      <w:r w:rsidRPr="00FA4B62">
        <w:rPr>
          <w:rFonts w:ascii="Arial Narrow" w:hAnsi="Arial Narrow"/>
          <w:color w:val="000000" w:themeColor="text1"/>
          <w:sz w:val="23"/>
          <w:szCs w:val="23"/>
        </w:rPr>
        <w:lastRenderedPageBreak/>
        <w:t xml:space="preserve">"makul bir şüpheye dayanmaması" ve "başvurucuya atılı eylemlerin suç unsuru içermemesi ihlal nedeni sayılmaktadır.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mensuplarına yöneltilen ByLock kullanma, Bank Asya'ya para yatırma, yasal kurumlarda çalışma, sendika/dernek yöneticiliği üyeliği, dini sohbetlere katılma gibi iddiaların tamamı işlendiği tarihte ve halen, yasal ve suç unsuru içermeyen eylemlerdir. Nitekim 15 Temmuz 2016 öncesinde bu eylemlerden dolayı hiç kimse hakkında soruşturma açılmamıştır. Çünkü tamamen yasaldır ve sadece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mensuplarına özgü faaliyetler de değildir. AKP ve önceki iktidarların da teşvik ettiği, içerisinde bulunduğu faaliyetlerdir.</w:t>
      </w:r>
    </w:p>
    <w:p w14:paraId="07ABB775" w14:textId="77777777" w:rsidR="00D7125A" w:rsidRPr="00FA4B62" w:rsidRDefault="00D7125A" w:rsidP="00D7125A">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İkincisi, söz konusu eylem ve faaliyetler AİHS'de korunan hakların kullanımı niteliğindedir. Özel ve aile hayatının gizliliği, haberleşmenin gizliliği, düşünce, vicdan ve din özgürlüğü, ifade özgürlüğü, toplantı ve demek/sendika kurma özgürlüğü, basın, medya ve internet özgürlüğü, kişisel verilerin korunması hakkı gibi.. Aynıca işlendiği tarihte ve halen hiçbir suç unsuru taşımayan, tümüyle yasal nitelikteki bu eylemler Sözleşme'nin olağanüstü hallerde bile dokunulmaz alan kabul ettiği "kanunsuz ceza olmaz" ilkesinin koruması altındadır.</w:t>
      </w:r>
    </w:p>
    <w:p w14:paraId="61A9AA77" w14:textId="77777777" w:rsidR="00D7125A" w:rsidRDefault="00D7125A" w:rsidP="00D7125A">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Üçüncüsü, yapılan suçlamanın zamanlaması hukuka aykınlığı ve keyfiliği ele vermektedir. Atılı eylemler ile tutuklama ve sair tedbir kararlarının verilmesi arasında uzun yıllar geçtiği görülmektedir. Örneğin Bank Asya'nın faaliyet izni 15 Temmuz'dan sonra kaldırılmıştır ve bu tarihe kadar bu bankaya para yatırdığından bahisle hiç kimse suçlanmamıştır. 15 Temmuz'a kadar Gülen Hareketi okullarında çalıştığı için kimseye dava açılmamıştır ve hatta devlet 15 Temmuz'a kadar bu okullara teşvik vermeye devam etmiştir."</w:t>
      </w:r>
    </w:p>
    <w:p w14:paraId="44FD8274" w14:textId="77777777" w:rsidR="00D7125A" w:rsidRPr="00FA4B62" w:rsidRDefault="00D7125A" w:rsidP="00D7125A">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Yine ByLock, Mart 2014-Ocak 2016 tarihlerinde kullanımda olduğu sırada yasaldır ve suç konusu yapılmamıştır. Dini sohbetlere katılma ve sair faaliyetlerin tümü de böyledir. Bu eylemlerin gerçekleştirildiği tarihte mevcut ve önceki iktidarlar dahil toplumun her kesimi bu yapıyı "Cemaat, Hizmet Hareketi" olarak tanımakta ve destek olmaktadır. Nitekim Avrupa Konseyi İnsan Hakları Komiseri Memorandumunda buna işaret edilerek; "Bir Türk vatandaşı için, hayatının herhangi bir aşamasında Gülen Hareketi ile şu ya da bu şekilde iletişime geçmiş olmaması veya ilişki kurmamış olması son derece istisnai bir durumdur. (CommDH(2016)35, 7 October 2016.p.4.)" denilmektedir.</w:t>
      </w:r>
    </w:p>
    <w:p w14:paraId="4C827335"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Pr>
          <w:rFonts w:ascii="Arial Narrow" w:hAnsi="Arial Narrow"/>
          <w:color w:val="000000" w:themeColor="text1"/>
          <w:sz w:val="23"/>
          <w:szCs w:val="23"/>
        </w:rPr>
        <w:t xml:space="preserve">mensupları, </w:t>
      </w:r>
      <w:r w:rsidRPr="00FA4B62">
        <w:rPr>
          <w:rFonts w:ascii="Arial Narrow" w:hAnsi="Arial Narrow"/>
          <w:color w:val="000000" w:themeColor="text1"/>
          <w:sz w:val="23"/>
          <w:szCs w:val="23"/>
        </w:rPr>
        <w:t>Cumhurbaşkanı Erdoğan, AKP Hükümeti, yandaş medya ve üst düzey devlet yetkilileri tarafından hedef gösterilmiştir. "Hedef gösterici" söylemler konusunda AİHM kararlarına yansıyanlardan kat be kat fazlası, yüzlerce bilgi ve belge ortaya konabilir. Olayın kısa özeti ile birlikte bunlardan bazıları şöyledir.</w:t>
      </w:r>
    </w:p>
    <w:p w14:paraId="438A94A4" w14:textId="77777777" w:rsidR="00D7125A" w:rsidRPr="00FA4B62" w:rsidRDefault="00D7125A" w:rsidP="00D7125A">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 xml:space="preserve">Cumhurbaşkanı Erdoğan ve AKP Hükümeti 17-25 Aralık 2013 tarihli yolsuzluk ve rüşvet operasyonlarını "Hükümete karşı darbe" olarak niteleyerek bu operasyonlardan </w:t>
      </w:r>
      <w:r>
        <w:rPr>
          <w:rFonts w:ascii="Arial Narrow" w:hAnsi="Arial Narrow"/>
          <w:color w:val="000000" w:themeColor="text1"/>
          <w:sz w:val="23"/>
          <w:szCs w:val="23"/>
        </w:rPr>
        <w:t>Cemaati</w:t>
      </w:r>
      <w:r w:rsidRPr="00FA4B62">
        <w:rPr>
          <w:rFonts w:ascii="Arial Narrow" w:hAnsi="Arial Narrow"/>
          <w:color w:val="000000" w:themeColor="text1"/>
          <w:sz w:val="23"/>
          <w:szCs w:val="23"/>
        </w:rPr>
        <w:t xml:space="preserve"> sorumlu tuttu ve uzun yıllar boyunca "Gülen Cemaati, Camia, Hizmet Hareketi" şeklinde bir sivil toplum örgütü olarak kabul ettiği, faaliyetlerini alkışladığı ve desteklediği </w:t>
      </w:r>
      <w:r>
        <w:rPr>
          <w:rFonts w:ascii="Arial Narrow" w:hAnsi="Arial Narrow"/>
          <w:color w:val="000000" w:themeColor="text1"/>
          <w:sz w:val="23"/>
          <w:szCs w:val="23"/>
        </w:rPr>
        <w:t>Cemaati</w:t>
      </w:r>
      <w:r w:rsidRPr="00FA4B62">
        <w:rPr>
          <w:rFonts w:ascii="Arial Narrow" w:hAnsi="Arial Narrow"/>
          <w:color w:val="000000" w:themeColor="text1"/>
          <w:sz w:val="23"/>
          <w:szCs w:val="23"/>
        </w:rPr>
        <w:t xml:space="preserve"> 17-25 Aralık operasyonlarından sonra "paralel yapı", "hain", "ajan", "haşhaşi" gibi söylemlerle “düşman" ilan etti.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17-25 Aralık soruşturmaları sonrasında aşama aşama "ötekileştirilerek", Hükümet emrindeki "Devlet olanakları" ve "medya gücü" kullanılmak sureti ile, "şüpheli", "tehlikeli”, “düşman” gösterilerek "terörist bir yapı" olarak ilan edilmeye başlanıldı. 17-25 Aralık 2013'ten sonra Erdoğan ve AKP Hükümetinin gerek yurt içinde gerekse yurt dışındaki en büyük hedefi </w:t>
      </w:r>
      <w:r>
        <w:rPr>
          <w:rFonts w:ascii="Arial Narrow" w:hAnsi="Arial Narrow"/>
          <w:color w:val="000000" w:themeColor="text1"/>
          <w:sz w:val="23"/>
          <w:szCs w:val="23"/>
        </w:rPr>
        <w:t>Cemaat</w:t>
      </w:r>
      <w:r w:rsidRPr="00FA4B62">
        <w:rPr>
          <w:rFonts w:ascii="Arial Narrow" w:hAnsi="Arial Narrow"/>
          <w:color w:val="000000" w:themeColor="text1"/>
          <w:sz w:val="23"/>
          <w:szCs w:val="23"/>
        </w:rPr>
        <w:t>i bitirmek oldu. Erdoğan bu hedefi "istiklal mücadelesi olarak ilan etti ve hesap soracaklarını söyledi. Erdoğan'ın bu konudaki en büyük silahı ise "yargı" olacaktı.</w:t>
      </w:r>
    </w:p>
    <w:p w14:paraId="36752FFF"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mensuplarına yargı yoluyla yapılan hak kısıtlamalarının "gizli amaç" taşıyıp taşımadığını belirleyebilmek için bu konudaki söylem ve eylemlere de bakmak gerekiyor. 17-25 Aralık 2013 sonrasında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mensuplarını ötekileştirme, düşmanlaştırma, hedefe koyma, hesap sorma, kin, nefret, intikamla hareket etme, planlı ve sistemli bir şekilde yargıyı kullanarak haklarını sınırlama ve yok etme amacını ortaya koyan söylemlerden bazıları özetle şöyledir.</w:t>
      </w:r>
    </w:p>
    <w:p w14:paraId="48BF0A00"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(21.12.2013): "Bu ihanetin (17 Aralık'ın) hesabını yargı yoluyla soracağız</w:t>
      </w:r>
    </w:p>
    <w:p w14:paraId="63EF7CF6" w14:textId="77777777" w:rsidR="00D7125A"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(25.02.2014): "Bu bir istiklal mücadelesidir. Bu darbe girişimi (17 Aralık) hesapsız kalmaz, kalmayacak. Önce millet sonra yargı bu darbe girişiminin hesabını soracaktır. Bu paralel örgütün paralel yapının bütün rezilliklerini tek tek ortaya dökecek, bunları da bunlarla birlikte yürüyenleri de sokağa çıkamayacak kadar mahkum hale getireceğiz."</w:t>
      </w:r>
    </w:p>
    <w:p w14:paraId="7599D6D6"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lastRenderedPageBreak/>
        <w:t>-</w:t>
      </w:r>
      <w:r w:rsidRPr="00FA4B62">
        <w:rPr>
          <w:rFonts w:ascii="Arial Narrow" w:hAnsi="Arial Narrow"/>
          <w:color w:val="000000" w:themeColor="text1"/>
          <w:sz w:val="23"/>
          <w:szCs w:val="23"/>
        </w:rPr>
        <w:t>Erdoğan (16.03.2014): "17 Aralık, 25 Aralık iyi ki oldu. Bunların yüzleri ortaya çıktı. Bütün ekiplerimizle bunları izliyoruz, kovalıyoruz, gereğini de vakti geldiğinde yapacağız. Türkiye Cumhuriyeti'ne karşı bu isyanı yapanlara en büyük dersi vereceğiz."</w:t>
      </w:r>
    </w:p>
    <w:p w14:paraId="29D3B80B"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(30.03.2014): "Hesabını bunun ödeyecekler bedelini ödeyecekler....Bunlar başhaşilere rahmet okutur. Haşhaşiler bunların yanında hiç.</w:t>
      </w:r>
    </w:p>
    <w:p w14:paraId="3A4851D7"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(11.05.2014): "Paralel yapıyla mücadelenin bir cadı avına dönüşmesini ikide bir konuşuyorlar. Bu ülkeye ihanet edenlerin görevlerini değiştirmek cadı avıysa, biz bu cadı avını yapacağız, bunu da bilin. Bu işin mücadelesi sıradan bir mücadele değil. Bu konuda nerede kim neler yapıyorsa bunları bize bildireceksiniz. Bütün vatandaşlarıma söylüyorum bildireceksiniz gereğini yapalım. Nefes aldığım sürece unutmayacak ve affetmeyeceğim.</w:t>
      </w:r>
    </w:p>
    <w:p w14:paraId="037888C4"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(10.06.2014): "(17 ve 25 Aralık soruşturmalan) Bu ve buna benzer girişimlerin hesabı sorulacak. Bu operasyonların yolsuzlukla alakası yoktu. Amaç hükümeti yıpratmak devirmek, mahkemelerde yargılamak ve mahkum etmekti. Gerek gezi olaylarında gerek 17-25 Aralık operasyonlarında Türkiye çok büyük bir tehlikeyi atlattı. Türkiye uçurumun kenarından döndü. Bu saldırılar karşısında öfkeli olmayacağız da ne yapacağız? Sanmayın ki bu yandallar karşısında yumuşak olursanız geri adım atarlar. Öfkemizi de asla onlardan asla sakınmayız.”</w:t>
      </w:r>
    </w:p>
    <w:p w14:paraId="42236AA5"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(30.06.2014): "Bu hainler başarılı olmadılar, olamayacaklar. Karşılarında nasıl bir iradenin var olduğunun farkında değiller."</w:t>
      </w:r>
    </w:p>
    <w:p w14:paraId="63BF128F"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(23.07.2014): "Devlet bunu hesabını sorar ve soruyor. Mesele Türkiye meselesidir. Gezi olaylarım 17-25 Aralık operasyonlarını neden yaptılar. İsrail'in bekçisi olmayı reddeden, Gazze meselesine sesini yükselten hükümeti susturmak için yaptılar.”</w:t>
      </w:r>
    </w:p>
    <w:p w14:paraId="3437D0E4"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(28.07.2014): "İnine girdik ve girmeye de devam edeceğiz. Bu can bu tende oldukça, bu mücadele devam edecektir."</w:t>
      </w:r>
    </w:p>
    <w:p w14:paraId="5C55859B"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(07.02.2015): "Türkiye'yi bu çeteden, bu musibetten, bu kanser hücrelerinden temizlemekte kararlıyız. "Yaptıkları hainliklerin hesabını verecekler</w:t>
      </w:r>
    </w:p>
    <w:p w14:paraId="57F36FC9" w14:textId="77777777" w:rsidR="00D7125A" w:rsidRPr="00FA4B62"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(28.04.2015): "Bu örgütün içinde yer alanların A'dan Z'ye bedelini ödemesi</w:t>
      </w:r>
      <w:r>
        <w:rPr>
          <w:rFonts w:ascii="Arial Narrow" w:hAnsi="Arial Narrow"/>
          <w:color w:val="000000" w:themeColor="text1"/>
          <w:sz w:val="23"/>
          <w:szCs w:val="23"/>
        </w:rPr>
        <w:t xml:space="preserve"> </w:t>
      </w:r>
      <w:r w:rsidRPr="00FA4B62">
        <w:rPr>
          <w:rFonts w:ascii="Arial Narrow" w:hAnsi="Arial Narrow"/>
          <w:color w:val="000000" w:themeColor="text1"/>
          <w:sz w:val="23"/>
          <w:szCs w:val="23"/>
        </w:rPr>
        <w:t>lazım."</w:t>
      </w:r>
    </w:p>
    <w:p w14:paraId="3114621D" w14:textId="77777777" w:rsidR="00D7125A"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(29.04.2015): “Bu yapının adamı olduğu tespit edilenler açığa alınacak. Ya bu devletin varlığını kabul edecekler ya yok olacaklar. MGK'dan sonra kararlarımız çok farklı devam edecek.</w:t>
      </w:r>
      <w:r>
        <w:rPr>
          <w:rFonts w:ascii="Arial Narrow" w:hAnsi="Arial Narrow"/>
          <w:color w:val="000000" w:themeColor="text1"/>
          <w:sz w:val="23"/>
          <w:szCs w:val="23"/>
        </w:rPr>
        <w:t>”</w:t>
      </w:r>
    </w:p>
    <w:p w14:paraId="7604C22E"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Ahmet Davutoğlu (27.04.2015): "Bütün bu paralel çeteye karşı ve onun desteklediği işbirlikçiliğe karşı milli irade seferberliği ilan ediyoruz."</w:t>
      </w:r>
    </w:p>
    <w:p w14:paraId="2F9A6223"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17-25 Aralık 2013'ten sonrasına ait bu konuşmalar ile 15 Temmuz 2016 sonrasında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mensuplarına yöneltilen suç isnatlarının lafzı arasındaki bağlantılar kısıtlamaların "gizli amaç” taşıdığını göstermektedir. Siyasi iktidar 17-25 Aralık yolsuzluk soruşturmalarını "Hükümete karşı darbe" olarak nitelemiş, yıllar sonra açılan iddianamelerde şüphelilere aynı yönde suçlama yöneltilmiştir. Ocak-2014 tarihli MİT Turlan operasyonu ile ilgili olarak "...amaç Türkiye'ye terör örgütlerine yardım eden ülke iftirası atmaktı...Türkiye'yi uluslararası alanda zora sokmak için yaptılar." şeklindeki iddialar HSYK ihraç kararlarında iddianame ve yargı kararlarında aynen yer almıştır.</w:t>
      </w:r>
    </w:p>
    <w:p w14:paraId="50B3A345" w14:textId="77777777" w:rsidR="00D7125A"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Hak sınırlamalanı için yargıya talimat verilmesi ve yargının buna uygun kararlar vermesine ilişkin çok sayıda örnek vardır. Erdoğan 2014 yılında Cumhurbaşkanlığı seçimi sonrasında </w:t>
      </w:r>
      <w:r>
        <w:rPr>
          <w:rFonts w:ascii="Arial Narrow" w:hAnsi="Arial Narrow"/>
          <w:color w:val="000000" w:themeColor="text1"/>
          <w:sz w:val="23"/>
          <w:szCs w:val="23"/>
        </w:rPr>
        <w:t>Cemaati</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Milli Güvenlik Siyaset Belgesi'ne(Kırmızı Kitap) "terör örgütü” olarak koyduracağını açıklamış, MGK'nın bu yöndeki toplantısından sonra 12.5.2015 tarihinde; "Yargı bundan sonra Kırmızı Kitaba göre karar verecek" demiş, sonrasında İstanbul'da baza Sulh Ceza Hakimlerinin tutuklama kararlarında Milli Güvenlik Siyaset Belgesine dayandıklanı görülmüştür. Ankara'da tutuklamaya sevk edilen 24 polisin serbest bırakılması (1.3.2015) üzerine Erdoğan: "Nasıl serbest kaldıklarına şaşıyorum." demiş, ardından HSYK ilgili hakimleri görevden almış, yeni atanan hakim polislere yakalama emri çıkarmıştır. </w:t>
      </w:r>
    </w:p>
    <w:p w14:paraId="168B5DA5"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lastRenderedPageBreak/>
        <w:t xml:space="preserve">İktidar yanlısı basın mensuplarının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mensuplarının tutuklanması tahliye edilmemesi konusunda yargıya baskı yapmaları ve sonucunda verilen kararlan (Ek-15, § 58), bazı yandaş basın mensuplarının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mensuplarına işkence yapılmasına, soykırım uygulanmasına yönelik istekleri de not edilmelidir.</w:t>
      </w:r>
    </w:p>
    <w:p w14:paraId="7B9432AB"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mensuplarına yönelik "gizli amacın" bir parçası olarak insan kaçırma, işkence ve öldürme olayları da unutulmamalıdır. Gözaltında işkenceyle veya cezaevinde tedavi ettirilmeyerek öldürülen, haksız soruşturma nedeniyle intihar eden veya ağır hastalığa yakalanıp ölenlerin sayısı 700'e yaklaşmış, 28 insan kaçırılmış, işkence yapılmıştır.</w:t>
      </w:r>
    </w:p>
    <w:p w14:paraId="7F68BF01"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Cemaate</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yönelik “gizli amacın” bir parçası olarak yürütmenin yargıya tahakkümü, yargıyı ele geçirmesi ve muhalif kesimlere karşı silah olarak kullanmasına ilişkin söylemlerden bazıları şöyledir.</w:t>
      </w:r>
    </w:p>
    <w:p w14:paraId="7074975A" w14:textId="77777777" w:rsidR="00D7125A"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(21.12.2013): "Bu ihanetin (17 Aralık'ın) hesabını yargı yoluyla soracağız." Erdoğan (16.03.2014): "Bütün ekiplerimizle bunlanı izliyoruz, kovalıyoruz, gereğini de vakti geldiğinde yapacağız.</w:t>
      </w:r>
    </w:p>
    <w:p w14:paraId="43DF39A0"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(12.04.2014): "Yargı buna daha ne kadar sessiz kalacak. Hakimlerimiz savcılarımız Türkiye adına gerçekten çok ciddi tehdit olan paralel yapıya karşı ne kadar tepkisiz kalacak.... Yargı mensupları özellikle cesur olmalı. Bunun temizlenmesi için tüm vatansever yargı mensuplarından destek aksiyon bekliyoruz, aksiyon bekliyoruz</w:t>
      </w:r>
    </w:p>
    <w:p w14:paraId="65B2988C"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(15.04.2014): "Tek başımıza kalsak da biz bu ülkenin çıkarlarını hukuka inanmış olan yargı mensuplarıyla savunmaya devam edeceğiz. ... Adliye koridorlarından o çeteleri temizleyeceğiz. (Erdoğan bu çağrılan yaparken, Yargıda Birlik Platformu (Demeği) adı altında toplanan bir kısım yargı mensupları bu çağrıları karşılıksız bırakmayarak "Hakim ve savcılar olarak devletimizin yanındayız" mesajı vermişlerdir.</w:t>
      </w:r>
    </w:p>
    <w:p w14:paraId="0F932281"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(22.06.2014): "Yargıya gereken şikâyetlerde bulunduk. Biz yine sabırlıyız çünkü belli şeylerin oluşması gerekiyor.... Ben paralel ya da değil yargıya sesleniyorum: bütün belgeler ortadayken suç aletleri ortadayken yapanlar ortadayken neymiş adli kontrolle serbest bırakıyormuş. Benim itirazım var." (Erdoğan'ın yargı mensuplarına yönelik bu çıkışı sonrasında serbest kalanlar hakkında iki gün içerisinde tutuklama kararı çıkarılmıştır).</w:t>
      </w:r>
    </w:p>
    <w:p w14:paraId="1A9F7B11"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(15.12.2014): "Yargıyı da bu tehdit ve şantajdan kurtardık. İşte şu anda yargı da bu değişim dönüşümle birlikte bir normalleşme sürecinin içerisinde girecektir."" (Erdoğan bu sözleri sarf ettiği gün YBD ağırlıklı HSYK tarafından Yargıtay'a 144, Danıştay'a 33 üye ataması yapılmıştır).</w:t>
      </w:r>
    </w:p>
    <w:p w14:paraId="73410A99"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(21.01.2015): "Bu tür insanları yargı makamında tutmazlar dünyada. HSYK ilk adımlarını atmıştır.... Henüz bunlar bitmedi, arkası gelecek."</w:t>
      </w:r>
    </w:p>
    <w:p w14:paraId="21407E1A"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(29.04.2015): “Bu yapının adamı olduğu tespit edilenler açığa alınacak..... MGK'dan sonra kararlarımız çok farklı devam edecek."</w:t>
      </w:r>
    </w:p>
    <w:p w14:paraId="4232824A"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BBP Genel Başkan Yardımcısı Remzi Çayır Cumhurbaşkanlığı seçimlerinde destek almak üzere ziyaretlerine gelen Erdoğan'ın "Sulh Ceza Mahkemeleri ile ilgili düzenleme yaptık. Şu an Abdullah beyin önünde, bir hafta, 10 gün içerisinde çıktığında bunların (</w:t>
      </w:r>
      <w:r>
        <w:rPr>
          <w:rFonts w:ascii="Arial Narrow" w:hAnsi="Arial Narrow"/>
          <w:color w:val="000000" w:themeColor="text1"/>
          <w:sz w:val="23"/>
          <w:szCs w:val="23"/>
        </w:rPr>
        <w:t>Cemaat</w:t>
      </w:r>
      <w:r w:rsidRPr="00B916F8">
        <w:rPr>
          <w:rFonts w:ascii="Arial Narrow" w:hAnsi="Arial Narrow"/>
          <w:color w:val="000000" w:themeColor="text1"/>
          <w:sz w:val="23"/>
          <w:szCs w:val="23"/>
        </w:rPr>
        <w:t>) defterini düreceğim' demişti. Aynen bu ifadeyi kullandı." dediğini ifade etmiştir."</w:t>
      </w:r>
    </w:p>
    <w:p w14:paraId="26BD185E" w14:textId="77777777" w:rsidR="00D7125A"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(12.05.2015): "Yargı bundan sonra Kırmızı Kitaba göre karar verecek. Kırmızı Kitap'a girdikten sonra burada yargı mercilerinin de bakışı değişecek. Çünkü bu milli güvenlikle ilgili bir durum. Bu mücadelede neler yapılabilir, süreç başladı. Yargıda olanları takip ediyoruz. Bu ülkenin tarihinde yargı mensuplarından savcı veya hâkim hiç tutuklanan oldu mu? Bu farklı bir olay. Burada bu tutuklama süreci muhtemelen diğerleriyle devam edebilir</w:t>
      </w:r>
      <w:r>
        <w:rPr>
          <w:rFonts w:ascii="Arial Narrow" w:hAnsi="Arial Narrow"/>
          <w:color w:val="000000" w:themeColor="text1"/>
          <w:sz w:val="23"/>
          <w:szCs w:val="23"/>
        </w:rPr>
        <w:t xml:space="preserve"> </w:t>
      </w:r>
      <w:r w:rsidRPr="00B916F8">
        <w:rPr>
          <w:rFonts w:ascii="Arial Narrow" w:hAnsi="Arial Narrow"/>
          <w:color w:val="000000" w:themeColor="text1"/>
          <w:sz w:val="23"/>
          <w:szCs w:val="23"/>
        </w:rPr>
        <w:t>(2015'teki hakim-savcı tutuklamaları hakkında)."</w:t>
      </w:r>
    </w:p>
    <w:p w14:paraId="3F5C8C90"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"Şimdi yaptığımız bazı yasal düzenlemeler (Sulh Ceza Hakimliklerine ilişkin) Cumhurbaşkanı'nın önünde, onaylanınca, hızlı adımlar atılacak. Kırmızı bültenler yayınlamaktan dava açmaya kadar her şey olacak.""</w:t>
      </w:r>
    </w:p>
    <w:p w14:paraId="5C8955EA"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Yargıyı baskı altına almaya ve yönetmeye yönelik bu sözler eyleme de dönüşmüş, yargı alanında önemli yapısal değişiklikler yapılmıştır. HSK'nın yapısı ve işleyişi, mahkemelerin kuruluşu ve üyelerinin atanma biçimi, yargının yürütmenin ağır baskısı altında olması, hakim-savcılara yönelik ağır siyasi baskılar, verdikleri kararlar nedeniyle görev </w:t>
      </w:r>
      <w:r w:rsidRPr="00B916F8">
        <w:rPr>
          <w:rFonts w:ascii="Arial Narrow" w:hAnsi="Arial Narrow"/>
          <w:color w:val="000000" w:themeColor="text1"/>
          <w:sz w:val="23"/>
          <w:szCs w:val="23"/>
        </w:rPr>
        <w:lastRenderedPageBreak/>
        <w:t>yerlerinin değiştirilmesi, haklarında soruşturma açılması, açığa alma ve ihraç kararları verilmesi gibi somut olay ve olgular yargı bağımsızlığının olmadığını göstermektedir</w:t>
      </w:r>
      <w:r>
        <w:rPr>
          <w:rFonts w:ascii="Arial Narrow" w:hAnsi="Arial Narrow"/>
          <w:color w:val="000000" w:themeColor="text1"/>
          <w:sz w:val="23"/>
          <w:szCs w:val="23"/>
        </w:rPr>
        <w:t>.</w:t>
      </w:r>
    </w:p>
    <w:p w14:paraId="1BB1D78A"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Avrupa Konseyi Parlamenterler Meclisi'nin (AKPM) 6 Haziran 2016 tarihli "The functioning of democratic institutions in Turkey" isimli Raporu'nda (Doc 14078) belirtildiği gibi, yargı üzerindeki yürütme baskısı, dört bakan ile Başbakan Erdoğan'ın oğlunun isminin de karıştığı 17-25 Aralık 2013 tarihli rüşvet ve yolsuzluk operasyonları ile başlamıştır. Bu çerçevede, ilk olarak HSYK yasasında ve bahse konu Raporda "özel mahkemeler" ya da "super hâkimler" olarak nitelendirilen sulh ceza hâkimliklerinin kurulmasını öngören yasal değişiklikler yapılmıştır. Sulh ceza hâkimlikleri, 17-25 Aralık 2013 tarihli rüşvet ve yolsuzluk soruşturmalarını yürüten ve iktidar tarafından "paralel yapı" olarak adlandırılan kamu görevlileri ile ve genel olarak Gülen Hareketi ile mücadele için kurulmuştur (6.6.2016 tarihli AKPM Raporu, par. 5, 31, 40, 65 ve özellikle 68). Hükümeti yakından destekleyen gazeteci Nagehan Alçı, NTV haber kanalında, 1 Mayıs 2015 tarihinde katıldığı bir programda, “Sulh ceza hâkimlikleri Paralel Yapı'yı bertaraf etmek için kuruldu" ifadelerini kullanmıştır."</w:t>
      </w:r>
    </w:p>
    <w:p w14:paraId="10A68155" w14:textId="77777777" w:rsidR="00D7125A"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Yukarıya alıntılanan bir kısım söylemlerden ve sayfa kısıtlılığı nedeniyle buraya aktarılamayan çok sayıdaki diğer delillerden anlaşıldığı üzere iktidarın temel hedefi ele geçirdiği yargı yoluyla </w:t>
      </w:r>
      <w:r>
        <w:rPr>
          <w:rFonts w:ascii="Arial Narrow" w:hAnsi="Arial Narrow"/>
          <w:color w:val="000000" w:themeColor="text1"/>
          <w:sz w:val="23"/>
          <w:szCs w:val="23"/>
        </w:rPr>
        <w:t>Cemaati</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bitirmektir. Bu amaçla Sulh Ceza Hakimlikleri kurulmuş ve Yargıtay'a varıncaya kadar tüm aşamalarda yürütmenin istediği doğrultuda atamalar yapılmıştır. Bu atamalarda, daha önce bahsi geçtiği üzere "Devletimizin yanındayız" mesajı veren, sosyal medya hesabında Erdoğan'a olan bağlılığını izhar eden, çeşitli platformlarda 17-25 Aralık, MİT Tırları gibi soruşturmalara ve Gülen Hareketi'ne karşı bakışta yürütme ile aynı (hasmane) görüşleri dile getiren, yani oyunu belli eden (taraflı) yargı mensuplan tercih edilmiş, "FETÖ ile mücadele edenler yüksek yargıç oldu" haberinde de görüleceği üzere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 karşı Hükümetin yanında yer alanlar terfi ettirilmiştir. </w:t>
      </w:r>
    </w:p>
    <w:p w14:paraId="5EBC5632"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Gülen Hareketi mensuplarına yönelik davalar yürütmenin kontrolündedir. Erdoğan'ın (20.03.2015) "Paralelle bağlantılı davalarda karar veren hâkimleri yakından takip ediyoruz ve (07.06.2017) "Başdanışmanlarımın tamamıyla duruşmalanı takip ediyorum.</w:t>
      </w:r>
      <w:r>
        <w:rPr>
          <w:rFonts w:ascii="Arial Narrow" w:hAnsi="Arial Narrow"/>
          <w:color w:val="000000" w:themeColor="text1"/>
          <w:sz w:val="23"/>
          <w:szCs w:val="23"/>
        </w:rPr>
        <w:t xml:space="preserve"> </w:t>
      </w:r>
      <w:r w:rsidRPr="00B916F8">
        <w:rPr>
          <w:rFonts w:ascii="Arial Narrow" w:hAnsi="Arial Narrow"/>
          <w:color w:val="000000" w:themeColor="text1"/>
          <w:sz w:val="23"/>
          <w:szCs w:val="23"/>
        </w:rPr>
        <w:t>Günbegün raporlarını alıyorum." sözleri, 15 Temmuz darbe girişimi davasına bakan mahkeme başkanının duruşma öncesinde Cumhurbaşkanı danışmanı ile görüştüğünün ortaya çıkması, bu davaların yürütmenin kontrolünde yürüdüğünü göstermektedir. Bu siyasi takip ve baskı ortamında yürütmenin isteğine aykırı karar verilmesi mümkün değildir. Bunda o derece ileri gidilmiştir ki, Mehmet Altan, Şahin Alpay, Alparslan Altan, Hakan Baş, Selahattin Demirtaş, Osman Kavala,</w:t>
      </w:r>
      <w:r>
        <w:rPr>
          <w:rFonts w:ascii="Arial Narrow" w:hAnsi="Arial Narrow"/>
          <w:color w:val="000000" w:themeColor="text1"/>
          <w:sz w:val="23"/>
          <w:szCs w:val="23"/>
        </w:rPr>
        <w:t xml:space="preserve"> Yüksel Yalçınkaya,</w:t>
      </w:r>
      <w:r w:rsidRPr="00B916F8">
        <w:rPr>
          <w:rFonts w:ascii="Arial Narrow" w:hAnsi="Arial Narrow"/>
          <w:color w:val="000000" w:themeColor="text1"/>
          <w:sz w:val="23"/>
          <w:szCs w:val="23"/>
        </w:rPr>
        <w:t xml:space="preserve"> İsmet Özçelik&amp;Turgay Karaman örneklerinde olduğu gibi AYM, AİHM ve BM-İHK kararlanı bile uygulanmamaktadır</w:t>
      </w:r>
      <w:r>
        <w:rPr>
          <w:rFonts w:ascii="Arial Narrow" w:hAnsi="Arial Narrow"/>
          <w:color w:val="000000" w:themeColor="text1"/>
          <w:sz w:val="23"/>
          <w:szCs w:val="23"/>
        </w:rPr>
        <w:t>.</w:t>
      </w:r>
    </w:p>
    <w:p w14:paraId="7A439E77"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Hak ve özgürlüklerden yararlanma ve hakların sınırlandırılmasında ayrımcılık yapılması "gizli amacın" en önemli delillerinden birisidir. Avrupa Konseyi İnsan Haklanı Komiseri Memorandumunda da değinildiği gibi Türkiye'de her kesimden insanın Gülen Hareketi ile iletişimi veya ilişkisi olmuştur. Bunların başında da muhafazakâr tabana sahip AKP gelmektedir. Gerçekte suç olmayan yasal faaliyetler Gülen Hareketi mensupları veya ilişkili olanlar için terör örgütü üyeliğine delil sayılırken, aynı kriterleri taşıyan iktidar mensuplan başta olmak üzere toplumun diğer kesimlerine dokunulmamıştır.</w:t>
      </w:r>
      <w:r>
        <w:rPr>
          <w:rFonts w:ascii="Arial Narrow" w:hAnsi="Arial Narrow"/>
          <w:color w:val="000000" w:themeColor="text1"/>
          <w:sz w:val="23"/>
          <w:szCs w:val="23"/>
        </w:rPr>
        <w:t xml:space="preserve"> </w:t>
      </w:r>
      <w:r w:rsidRPr="00B916F8">
        <w:rPr>
          <w:rFonts w:ascii="Arial Narrow" w:hAnsi="Arial Narrow"/>
          <w:color w:val="000000" w:themeColor="text1"/>
          <w:sz w:val="23"/>
          <w:szCs w:val="23"/>
        </w:rPr>
        <w:t>Örneğin; çocuklarının Gülen Hareketi ile bağlantılı okullarda dershanelerde eğitim görmesi suçlama nedeni yapılırken, bu tür bir okulda eğitim gören Berat Albayrak Bakan yapılmış, AKP yöneticilerinin (Erdoğan dahil) çocuklarının Gülen Hareketi ile ilişkili dershanede eğitim görmesi sorgulanmamıştır.</w:t>
      </w:r>
    </w:p>
    <w:p w14:paraId="0F23476D"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ByLock nedeniyle yüzbine yakın insan tutuklanırken, iktidara yakın kimseler hakkında soruşturma açılmamakta veya takipsizlik karan verilmektedir (Örneğin: TRT eski Genel Müdürü İbrahim Şahin ve Konyaspor Başkanı Ahmet Şan). Yine 82'si AKP'li, 43'ü CHP, MHP ve HDP'li olmak üzere 125 milletvekilinin telefonuna ByLock yüklendiği iddia edilmiş, isimleri sosyal medyada teşhir edildiği halde bu iddianın üzerine gidilmemiştir.</w:t>
      </w:r>
    </w:p>
    <w:p w14:paraId="5777CE61"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bağlantılı "Kimse Yok Mu" isimli demeğe bağışta bulunmak veya Gülen Hareketi ile bağlantılı demeklere üye olmak suçlama konusu yapılırken, Kimse Yok Mu Derneği üyesi Gökçen Enç 01.11.2015'te AKP'den milletvekili seçilmiştir. Demek üyeliği nedeniyle hakkında hiçbir soruşturma açılmamıştır.</w:t>
      </w:r>
    </w:p>
    <w:p w14:paraId="2A353868" w14:textId="77777777" w:rsidR="00D7125A" w:rsidRPr="00FA4B62"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lastRenderedPageBreak/>
        <w:t>Bank Asya'ya para yatırmak terör örgütüne yardım veya üyelik sayılırken, Bank Asya'da yöneticilik yapmış isimlere üst düzey görevler verildiği", iktidar partisi mensuplarına veya yakınlarına soruşturma açılmadığı, takipsizlik beraat kararlanı verildiği görülmektedir (örneğin AKP'li Meclis eski Başkanı Bülent Arınç'ın damadı Ekrem Yeter).</w:t>
      </w:r>
    </w:p>
    <w:p w14:paraId="56C1A71A" w14:textId="77777777" w:rsidR="00D7125A" w:rsidRPr="00B916F8" w:rsidRDefault="00D7125A" w:rsidP="00D7125A">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yöneticisi olduğu iddia edilen kişilerle telefonda görüşmek (HTS) suç delili sayılmaktadır. Örneğin Ş.AT. isimli kişiyle HTS kaydı olanlar hakkında dava açılırken, aynı isimle HTS kaydı çıkan onlarca AKP'li isme soruşturma bile açılmamıştır. Yine bir sanık hakkında A.Ç. isimli kişiyle birkaç görüşme yapması nedeniyle suçlama yapılırken, aynı kişiyle 93 görüşme kaydı bulunan İsmail Rüştü Cirit 2020 yılı başına kadar Yargıtay Başkanı olarak görev yapmıştır ve hakkında HTS kaydına dayalı herhangi bir suç isnadı yoktur.</w:t>
      </w:r>
    </w:p>
    <w:p w14:paraId="5E34688F"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AKP Genel Başkan Yardımcısı Mahir Ünal 20.12.2019'da bir TV programında yaptığı açıklamada "kendi partileri içinde "FETÖ temizliği yaptıklarını, onlarca milletvekilinin istifa ettiğini, kongre ve seçimlerde bu yapıyla ilişkili olanları partiye yaklaştırılmadığını belirtmiştir. Bu açıklamaya göre, sözde parti içi temizlik yapılarak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ile bağlantılı olduğu düşünülen kişiler tasfiye edilmişlerdir, ancak diğerlerinin aksine bu kişiler hakkında yasal bir işlem yapılmamış, soruşturma açılmamış, tutuklanmamış, mallarına el konulmamıştır.</w:t>
      </w:r>
    </w:p>
    <w:p w14:paraId="1B9C272B"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Bunların yanı sıra büyük adliyelerde kamuoyunda "FETÖ BORSASI" adıyla bilinen çeteler oluşmuş, varlıklı kişiler yüklü miktarlarda rüşvet karşılığında serbest bırakılmış, soruşturmalanı kapatılmıştır.</w:t>
      </w:r>
    </w:p>
    <w:p w14:paraId="509761B4"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Örnekleri çoğaltmak mümkündür. Aynı eylem ve faaliyetler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 için terör örgütü üyeliğine delil sayılırken, iktidar yanlıları veya toplumun diğer kesimlerine karşı herhangi bir soruşturma işlemi yapılmamıştır. Esasen doğrusu da budur, çünkü bu eylemler suç değildir. Bir eylem ya da faaliyet ceza kanunu anlamında suç ise herkes için suç; değilse hiç kimse için suç değildir. Aksi uygulama suç ve cezaların kanuniliği ilkesinin uygulanmasında ayrımcılık (AİHS m.14) anlamına gelir.</w:t>
      </w:r>
    </w:p>
    <w:p w14:paraId="5A8C225C" w14:textId="77777777" w:rsidR="00D7125A" w:rsidRPr="00B916F8"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Suç unsuru taşımayan yasal nitelikteki eylem ve faaliyetlerin, yıllar sonra ve sadece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 veya takipçileri için suçlama konusu yapılması (diğer Sözleşme ihlallerinin yanı sıra)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mensuplarına yönelik "gizli amacın" bir başka tezahür şeklidir.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mensuplarına yönelik hak sınırlamaları, sebepleri, sonuçlanı No3. burada sayılanlardan ibaret değildir. Sadece soruşturması olanlara değil,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mensuplarının çocuklarına varıncaya kadar pek çok hukuksuz uygulama mevcuttur (soruşturma geçiren kişinin çocuklarına da hak sınırlamaları uygulanması gibi).</w:t>
      </w:r>
    </w:p>
    <w:p w14:paraId="4D0F19CF" w14:textId="77777777" w:rsidR="00D7125A" w:rsidRDefault="00D7125A" w:rsidP="00D7125A">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Bütün bunların toplamından çıkan sonuç çok açık bir şekilde ve özetle şudur.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mensuplarına karşı yapılan hak sınırlamalarının temelinde Gülen Hareketini bitirme, yok etme, intikam alma amacı vardır ve bu amaçla da planlı ve sistemli bir uygula</w:t>
      </w:r>
      <w:r>
        <w:rPr>
          <w:rFonts w:ascii="Arial Narrow" w:hAnsi="Arial Narrow"/>
          <w:color w:val="000000" w:themeColor="text1"/>
          <w:sz w:val="23"/>
          <w:szCs w:val="23"/>
        </w:rPr>
        <w:t>ma yapıl</w:t>
      </w:r>
      <w:r w:rsidRPr="00B916F8">
        <w:rPr>
          <w:rFonts w:ascii="Arial Narrow" w:hAnsi="Arial Narrow"/>
          <w:color w:val="000000" w:themeColor="text1"/>
          <w:sz w:val="23"/>
          <w:szCs w:val="23"/>
        </w:rPr>
        <w:t xml:space="preserve">maktadır. Sayıları bir milyona varan soruşturmalar, tutuklamalar, milyarlarca dolarlık malvarlığına elkoymalar ve süreçteki tüm insan hakkı ihlalleri göstermektedir ki, Erdoğan'ın 28.04.2015'te "Bu örgütün içinde yer alanların A'dan Z'ye bedelini ödemesi lazım" </w:t>
      </w:r>
      <w:r>
        <w:rPr>
          <w:rFonts w:ascii="Arial Narrow" w:hAnsi="Arial Narrow"/>
          <w:color w:val="000000" w:themeColor="text1"/>
          <w:sz w:val="23"/>
          <w:szCs w:val="23"/>
        </w:rPr>
        <w:t>ş</w:t>
      </w:r>
      <w:r w:rsidRPr="00B916F8">
        <w:rPr>
          <w:rFonts w:ascii="Arial Narrow" w:hAnsi="Arial Narrow"/>
          <w:color w:val="000000" w:themeColor="text1"/>
          <w:sz w:val="23"/>
          <w:szCs w:val="23"/>
        </w:rPr>
        <w:t xml:space="preserve">eklinde ifade ettiği üzere </w:t>
      </w:r>
      <w:r>
        <w:rPr>
          <w:rFonts w:ascii="Arial Narrow" w:hAnsi="Arial Narrow"/>
          <w:color w:val="000000" w:themeColor="text1"/>
          <w:sz w:val="23"/>
          <w:szCs w:val="23"/>
        </w:rPr>
        <w:t>Cemaatle</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ilişkili olan herkese A'dan Z'ye bedel ödetilmekte, cezalandırılmakta ve intikam alınmaktadır. Ne yazık ki bütün bu hak ihlalleri yürütmeye bağlanan yargı vasıtasıyla yürütülmektedir. Görüldüğü üzere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mensuplarına yönelik hak sınırlamalarında AİHMin 18. maddenin ihlali olarak saydığı kriterlerden ve delillerden çok daha fazlası vardır. Başvurucunun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 olduğu iddiasıyla cezalandırılması da yukarıda açıklanan "gizli amacın" yerine getirilmesinden ibarettir ve bu nedenle AIHS</w:t>
      </w:r>
      <w:r>
        <w:rPr>
          <w:rFonts w:ascii="Arial Narrow" w:hAnsi="Arial Narrow"/>
          <w:color w:val="000000" w:themeColor="text1"/>
          <w:sz w:val="23"/>
          <w:szCs w:val="23"/>
        </w:rPr>
        <w:t>’</w:t>
      </w:r>
      <w:r w:rsidRPr="00B916F8">
        <w:rPr>
          <w:rFonts w:ascii="Arial Narrow" w:hAnsi="Arial Narrow"/>
          <w:color w:val="000000" w:themeColor="text1"/>
          <w:sz w:val="23"/>
          <w:szCs w:val="23"/>
        </w:rPr>
        <w:t>in 18. maddesi ihlal edilmiştir.</w:t>
      </w:r>
    </w:p>
    <w:p w14:paraId="48261895" w14:textId="77777777" w:rsidR="00C85304" w:rsidRPr="00B916F8" w:rsidRDefault="00C85304" w:rsidP="00D7125A">
      <w:pPr>
        <w:spacing w:after="120"/>
        <w:jc w:val="both"/>
        <w:rPr>
          <w:rFonts w:ascii="Arial Narrow" w:hAnsi="Arial Narrow"/>
          <w:color w:val="000000" w:themeColor="text1"/>
          <w:sz w:val="23"/>
          <w:szCs w:val="23"/>
        </w:rPr>
      </w:pPr>
    </w:p>
    <w:p w14:paraId="42592A5A" w14:textId="77777777" w:rsidR="00C85304" w:rsidRPr="00317BF7" w:rsidRDefault="00C85304" w:rsidP="00C85304">
      <w:pPr>
        <w:spacing w:after="120"/>
        <w:jc w:val="both"/>
        <w:rPr>
          <w:rFonts w:ascii="Arial Narrow" w:hAnsi="Arial Narrow" w:cs="Times New Roman"/>
          <w:bCs/>
          <w:sz w:val="24"/>
          <w:szCs w:val="24"/>
        </w:rPr>
      </w:pPr>
      <w:r w:rsidRPr="00317BF7">
        <w:rPr>
          <w:rFonts w:ascii="Arial Narrow" w:hAnsi="Arial Narrow"/>
          <w:b/>
          <w:bCs/>
          <w:color w:val="FF0000"/>
          <w:sz w:val="24"/>
          <w:szCs w:val="24"/>
        </w:rPr>
        <w:t xml:space="preserve">(BAŞVURUYA İLİŞKİN AÇIKLAMALAR EN FAZLA </w:t>
      </w:r>
      <w:r w:rsidRPr="002453C6">
        <w:rPr>
          <w:rFonts w:ascii="Arial Narrow" w:hAnsi="Arial Narrow"/>
          <w:b/>
          <w:bCs/>
          <w:color w:val="FF0000"/>
          <w:sz w:val="24"/>
          <w:szCs w:val="24"/>
          <w:u w:val="single"/>
        </w:rPr>
        <w:t>20 SAYFA OLACAĞINDAN</w:t>
      </w:r>
      <w:r w:rsidRPr="00317BF7">
        <w:rPr>
          <w:rFonts w:ascii="Arial Narrow" w:hAnsi="Arial Narrow"/>
          <w:b/>
          <w:bCs/>
          <w:color w:val="FF0000"/>
          <w:sz w:val="24"/>
          <w:szCs w:val="24"/>
        </w:rPr>
        <w:t xml:space="preserve">, KENDİNİZLE İLGİLİ OLMAYAN KISIMLARI, YANİ BYLOCK-ANKESÖR VE DİĞER BAŞLIKLARLA İLGİLİ AÇIKLAMALARDAN SİZİNLE İLGİLİ OLMAYANLARI ÇIKARDIKTAN SONRA AÇIKLAMANIN </w:t>
      </w:r>
      <w:r w:rsidRPr="002453C6">
        <w:rPr>
          <w:rFonts w:ascii="Arial Narrow" w:hAnsi="Arial Narrow"/>
          <w:b/>
          <w:bCs/>
          <w:color w:val="FF0000"/>
          <w:sz w:val="24"/>
          <w:szCs w:val="24"/>
          <w:u w:val="single"/>
        </w:rPr>
        <w:t>20 SAYFA OLMASINA</w:t>
      </w:r>
      <w:r w:rsidRPr="00317BF7">
        <w:rPr>
          <w:rFonts w:ascii="Arial Narrow" w:hAnsi="Arial Narrow"/>
          <w:b/>
          <w:bCs/>
          <w:color w:val="FF0000"/>
          <w:sz w:val="24"/>
          <w:szCs w:val="24"/>
        </w:rPr>
        <w:t xml:space="preserve"> DİKKAT EDİNİZ) </w:t>
      </w:r>
      <w:r>
        <w:rPr>
          <w:rFonts w:ascii="Arial Narrow" w:hAnsi="Arial Narrow"/>
          <w:b/>
          <w:bCs/>
          <w:color w:val="FF0000"/>
          <w:sz w:val="24"/>
          <w:szCs w:val="24"/>
        </w:rPr>
        <w:t xml:space="preserve">AYNI ŞEKİLDE, KENDİNİZLE İLGİLİ OLMAYAN KISIMLARA İLİŞKİN ÖRNEK BAŞVURU FORMUNDA EK AÇIKLAMALARDA AYRINTILI ANLATIM YAPILDIĞINA İLİŞKİN İFADELERİ DE SİLİN. YANİ KENDİNİZLE İLGİLİ OLMAYAN KISIMLARI HEM BU METİNDEN HEM DE BAŞVURU FORMUNDAN SİLİN. AYRICA, BAŞVURU FORMU VE EK AÇIKLAMALAR KISMI AVUKAT MI, YOKSA BAŞVURUCU TARAFINDAN MI DOLDURULACAĞI TARAFIMIZCA BİLİNEMEDİĞİNDEN, HER İKİ İHTİMALE GÖRE DE </w:t>
      </w:r>
      <w:r>
        <w:rPr>
          <w:rFonts w:ascii="Arial Narrow" w:hAnsi="Arial Narrow"/>
          <w:b/>
          <w:bCs/>
          <w:color w:val="FF0000"/>
          <w:sz w:val="24"/>
          <w:szCs w:val="24"/>
        </w:rPr>
        <w:lastRenderedPageBreak/>
        <w:t>YAZILAN KISIMLAR OLABİLİR. BU NEDENLE, BAŞVURU FORMU VE EK AÇIKLAMALAR KİM TARAFINDAN DOLDURULACAKSA ONA GÖRE YAZIM DİLİ DE KONTROL EDİLMELİDİR.</w:t>
      </w:r>
    </w:p>
    <w:p w14:paraId="00B78EFD" w14:textId="77777777" w:rsidR="00D7125A" w:rsidRPr="00EC42C7" w:rsidRDefault="00D7125A" w:rsidP="00D7125A">
      <w:pPr>
        <w:spacing w:after="120"/>
        <w:jc w:val="both"/>
        <w:rPr>
          <w:rFonts w:ascii="Arial Narrow" w:hAnsi="Arial Narrow" w:cs="Times New Roman"/>
          <w:bCs/>
          <w:sz w:val="23"/>
          <w:szCs w:val="23"/>
        </w:rPr>
      </w:pPr>
    </w:p>
    <w:p w14:paraId="5E48D334" w14:textId="46B3BEE1" w:rsidR="00645137" w:rsidRPr="00852BA3" w:rsidRDefault="00645137" w:rsidP="00D7125A">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sz w:val="23"/>
          <w:szCs w:val="23"/>
          <w:lang w:eastAsia="tr-TR"/>
        </w:rPr>
      </w:pPr>
    </w:p>
    <w:sectPr w:rsidR="00645137" w:rsidRPr="00852BA3" w:rsidSect="00D7125A">
      <w:footerReference w:type="default" r:id="rId8"/>
      <w:pgSz w:w="11906" w:h="16838"/>
      <w:pgMar w:top="1134"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95A2" w14:textId="77777777" w:rsidR="00DE1253" w:rsidRDefault="00DE1253" w:rsidP="00374FF4">
      <w:pPr>
        <w:spacing w:after="0" w:line="240" w:lineRule="auto"/>
      </w:pPr>
      <w:r>
        <w:separator/>
      </w:r>
    </w:p>
  </w:endnote>
  <w:endnote w:type="continuationSeparator" w:id="0">
    <w:p w14:paraId="595BD801" w14:textId="77777777" w:rsidR="00DE1253" w:rsidRDefault="00DE1253" w:rsidP="003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ndale Sans UI">
    <w:charset w:val="A2"/>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469"/>
      <w:docPartObj>
        <w:docPartGallery w:val="Page Numbers (Bottom of Page)"/>
        <w:docPartUnique/>
      </w:docPartObj>
    </w:sdtPr>
    <w:sdtContent>
      <w:p w14:paraId="4BE84553" w14:textId="77777777" w:rsidR="002B05B7" w:rsidRDefault="005E7505">
        <w:pPr>
          <w:pStyle w:val="AltBilgi"/>
          <w:jc w:val="center"/>
        </w:pPr>
        <w:r>
          <w:fldChar w:fldCharType="begin"/>
        </w:r>
        <w:r>
          <w:instrText xml:space="preserve"> PAGE   \* MERGEFORMAT </w:instrText>
        </w:r>
        <w:r>
          <w:fldChar w:fldCharType="separate"/>
        </w:r>
        <w:r w:rsidR="00C35BFE">
          <w:rPr>
            <w:noProof/>
          </w:rPr>
          <w:t>7</w:t>
        </w:r>
        <w:r>
          <w:rPr>
            <w:noProof/>
          </w:rPr>
          <w:fldChar w:fldCharType="end"/>
        </w:r>
      </w:p>
    </w:sdtContent>
  </w:sdt>
  <w:p w14:paraId="28B86E10" w14:textId="77777777" w:rsidR="002B05B7" w:rsidRDefault="002B05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55C9" w14:textId="77777777" w:rsidR="00DE1253" w:rsidRDefault="00DE1253" w:rsidP="00374FF4">
      <w:pPr>
        <w:spacing w:after="0" w:line="240" w:lineRule="auto"/>
      </w:pPr>
      <w:r>
        <w:separator/>
      </w:r>
    </w:p>
  </w:footnote>
  <w:footnote w:type="continuationSeparator" w:id="0">
    <w:p w14:paraId="53D04ED1" w14:textId="77777777" w:rsidR="00DE1253" w:rsidRDefault="00DE1253" w:rsidP="00374FF4">
      <w:pPr>
        <w:spacing w:after="0" w:line="240" w:lineRule="auto"/>
      </w:pPr>
      <w:r>
        <w:continuationSeparator/>
      </w:r>
    </w:p>
  </w:footnote>
  <w:footnote w:id="1">
    <w:p w14:paraId="4F9FFDC0" w14:textId="49CF9281" w:rsidR="008076BD" w:rsidRPr="00D7125A" w:rsidRDefault="008076BD"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w:t>
      </w:r>
      <w:r w:rsidRPr="00D7125A">
        <w:rPr>
          <w:rFonts w:ascii="Arial Narrow" w:hAnsi="Arial Narrow"/>
          <w:i/>
          <w:iCs/>
          <w:sz w:val="19"/>
          <w:szCs w:val="19"/>
        </w:rPr>
        <w:t>Guðmundur Andri Ástráðsson/ İzlanda</w:t>
      </w:r>
      <w:r w:rsidRPr="00D7125A">
        <w:rPr>
          <w:rFonts w:ascii="Arial Narrow" w:hAnsi="Arial Narrow"/>
          <w:sz w:val="19"/>
          <w:szCs w:val="19"/>
        </w:rPr>
        <w:t xml:space="preserve"> [BD], B. No: 26374/18, 01/12/2020; </w:t>
      </w:r>
      <w:r w:rsidRPr="00D7125A">
        <w:rPr>
          <w:rFonts w:ascii="Arial Narrow" w:hAnsi="Arial Narrow"/>
          <w:bCs/>
          <w:i/>
          <w:sz w:val="19"/>
          <w:szCs w:val="19"/>
        </w:rPr>
        <w:t>Advance Pharma sp. z o.o/Polanya,</w:t>
      </w:r>
      <w:r w:rsidRPr="00D7125A">
        <w:rPr>
          <w:rFonts w:ascii="Arial Narrow" w:hAnsi="Arial Narrow"/>
          <w:bCs/>
          <w:sz w:val="19"/>
          <w:szCs w:val="19"/>
        </w:rPr>
        <w:t xml:space="preserve"> B. No: 1469/20, 03/02/2022, </w:t>
      </w:r>
      <w:r w:rsidRPr="00D7125A">
        <w:rPr>
          <w:rFonts w:ascii="Arial Narrow" w:hAnsi="Arial Narrow"/>
          <w:sz w:val="19"/>
          <w:szCs w:val="19"/>
        </w:rPr>
        <w:t>§§ 349 vd.)</w:t>
      </w:r>
    </w:p>
  </w:footnote>
  <w:footnote w:id="2">
    <w:p w14:paraId="01ABAF46" w14:textId="79D169D5" w:rsidR="008076BD" w:rsidRPr="00D7125A" w:rsidRDefault="008076BD"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00D7125A" w:rsidRPr="00D7125A">
        <w:rPr>
          <w:rFonts w:ascii="Arial Narrow" w:hAnsi="Arial Narrow"/>
          <w:sz w:val="19"/>
          <w:szCs w:val="19"/>
        </w:rPr>
        <w:tab/>
      </w:r>
      <w:r w:rsidRPr="00D7125A">
        <w:rPr>
          <w:rFonts w:ascii="Arial Narrow" w:hAnsi="Arial Narrow"/>
          <w:sz w:val="19"/>
          <w:szCs w:val="19"/>
        </w:rPr>
        <w:t>https://humanrights-ev.com/turkiyede-yargi-bagimsizligi-ve-tarafsizligi-yoktur-hrd-ozel-rapor/</w:t>
      </w:r>
    </w:p>
  </w:footnote>
  <w:footnote w:id="3">
    <w:p w14:paraId="71152B4F"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w:t>
      </w:r>
      <w:r w:rsidRPr="00D7125A">
        <w:rPr>
          <w:rFonts w:ascii="Arial Narrow" w:hAnsi="Arial Narrow"/>
          <w:i/>
          <w:sz w:val="19"/>
          <w:szCs w:val="19"/>
        </w:rPr>
        <w:t xml:space="preserve">CMK m.135/1’in ilk cümlesinde öngörülen şartların iletişimin tespitinde uygulanması görüşünü benimsediğimizi ifade etmek isteriz. Kanaatimizce, Ceza Yargılaması Hukukunda şüpheli veya sanığın hak ve hürriyetleri aleyhine değilse de lehine genişletici yorum veya kıyas yapılabilir.” </w:t>
      </w:r>
      <w:r w:rsidRPr="00D7125A">
        <w:rPr>
          <w:rFonts w:ascii="Arial Narrow" w:hAnsi="Arial Narrow"/>
          <w:sz w:val="19"/>
          <w:szCs w:val="19"/>
        </w:rPr>
        <w:t xml:space="preserve">Ersan Şen, </w:t>
      </w:r>
      <w:r w:rsidRPr="00D7125A">
        <w:rPr>
          <w:rFonts w:ascii="Arial Narrow" w:hAnsi="Arial Narrow"/>
          <w:b/>
          <w:sz w:val="19"/>
          <w:szCs w:val="19"/>
        </w:rPr>
        <w:t>İletişimin Tespiti,</w:t>
      </w:r>
      <w:r w:rsidRPr="00D7125A">
        <w:rPr>
          <w:rFonts w:ascii="Arial Narrow" w:hAnsi="Arial Narrow"/>
          <w:i/>
          <w:sz w:val="19"/>
          <w:szCs w:val="19"/>
        </w:rPr>
        <w:t xml:space="preserve"> https://www.haber7.com/yazarlar/prof-dr-ersan-sen/1479525-iletisimin-tespiti</w:t>
      </w:r>
    </w:p>
  </w:footnote>
  <w:footnote w:id="4">
    <w:p w14:paraId="542B64F8"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w:t>
      </w:r>
      <w:r w:rsidRPr="00D7125A">
        <w:rPr>
          <w:rFonts w:ascii="Arial Narrow" w:hAnsi="Arial Narrow"/>
          <w:i/>
          <w:sz w:val="19"/>
          <w:szCs w:val="19"/>
        </w:rPr>
        <w:t xml:space="preserve">İletişim tespiti ancak, şüpheli ve sanık hakkında uygulanabilir. </w:t>
      </w:r>
      <w:r w:rsidRPr="00D7125A">
        <w:rPr>
          <w:rFonts w:ascii="Arial Narrow" w:hAnsi="Arial Narrow"/>
          <w:i/>
          <w:sz w:val="19"/>
          <w:szCs w:val="19"/>
          <w:u w:val="single"/>
        </w:rPr>
        <w:t>Haklarında iletişimin tespiti tedbiri talep edilen kişiler, baz istasyonundan hizmet alan üçüncü kişiler olup, şüpheli veya sanık sıfatına sahip olmadıklarından haklarında iletişimin tespiti tedbirine başvurulması olanağı yoktur</w:t>
      </w:r>
      <w:r w:rsidRPr="00D7125A">
        <w:rPr>
          <w:rFonts w:ascii="Arial Narrow" w:hAnsi="Arial Narrow"/>
          <w:i/>
          <w:sz w:val="19"/>
          <w:szCs w:val="19"/>
        </w:rPr>
        <w:t xml:space="preserve">” </w:t>
      </w:r>
      <w:r w:rsidRPr="00D7125A">
        <w:rPr>
          <w:rFonts w:ascii="Arial Narrow" w:hAnsi="Arial Narrow"/>
          <w:sz w:val="19"/>
          <w:szCs w:val="19"/>
        </w:rPr>
        <w:t>Yargıtay Ceza Genel Kurulu 15/11/2011 T., 2011/6-140 E., 2011/222 K.</w:t>
      </w:r>
    </w:p>
  </w:footnote>
  <w:footnote w:id="5">
    <w:p w14:paraId="1FCD4DE5"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Ceza Genel Kurulu 04/10/2011 T., 2011/10-159 E., 2011/202 K. sayılı kararı</w:t>
      </w:r>
    </w:p>
  </w:footnote>
  <w:footnote w:id="6">
    <w:p w14:paraId="22320ED4"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 xml:space="preserve">Yargıtay Ceza Genel Kurulu 03/07/2007 T., </w:t>
      </w:r>
      <w:r w:rsidRPr="00D7125A">
        <w:rPr>
          <w:rFonts w:ascii="Arial Narrow" w:hAnsi="Arial Narrow"/>
          <w:sz w:val="19"/>
          <w:szCs w:val="19"/>
          <w:shd w:val="clear" w:color="auto" w:fill="FFFFFF"/>
        </w:rPr>
        <w:t xml:space="preserve">2007/5.MD-23 E., </w:t>
      </w:r>
      <w:r w:rsidRPr="00D7125A">
        <w:rPr>
          <w:rFonts w:ascii="Arial Narrow" w:hAnsi="Arial Narrow"/>
          <w:sz w:val="19"/>
          <w:szCs w:val="19"/>
        </w:rPr>
        <w:t xml:space="preserve">2007/167 K. ve 22/01/2008 T., </w:t>
      </w:r>
      <w:r w:rsidRPr="00D7125A">
        <w:rPr>
          <w:rFonts w:ascii="Arial Narrow" w:hAnsi="Arial Narrow"/>
          <w:sz w:val="19"/>
          <w:szCs w:val="19"/>
          <w:shd w:val="clear" w:color="auto" w:fill="FFFFFF"/>
        </w:rPr>
        <w:t> 2008/3-25 E.,</w:t>
      </w:r>
      <w:r w:rsidRPr="00D7125A">
        <w:rPr>
          <w:rFonts w:ascii="Arial Narrow" w:hAnsi="Arial Narrow"/>
          <w:sz w:val="19"/>
          <w:szCs w:val="19"/>
        </w:rPr>
        <w:t xml:space="preserve"> 2008/3 K. sayılı kararları</w:t>
      </w:r>
      <w:r w:rsidRPr="00D7125A">
        <w:rPr>
          <w:rFonts w:ascii="Arial Narrow" w:hAnsi="Arial Narrow"/>
          <w:sz w:val="19"/>
          <w:szCs w:val="19"/>
          <w:shd w:val="clear" w:color="auto" w:fill="FFFFFF"/>
        </w:rPr>
        <w:t>.</w:t>
      </w:r>
    </w:p>
  </w:footnote>
  <w:footnote w:id="7">
    <w:p w14:paraId="756F9D2D"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 xml:space="preserve">Yargıtay 20. Ceza Dairesi 27/2/2018 T., 2017/6720 E., 2018/1146 K.; Yargıtay 12. Ceza Dairesi 04/5/2016 T., 2015/4301 E., 2016/7873 K. </w:t>
      </w:r>
    </w:p>
  </w:footnote>
  <w:footnote w:id="8">
    <w:p w14:paraId="55EDB019"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r>
      <w:r w:rsidRPr="00D7125A">
        <w:rPr>
          <w:rFonts w:ascii="Arial Narrow" w:hAnsi="Arial Narrow"/>
          <w:i/>
          <w:sz w:val="19"/>
          <w:szCs w:val="19"/>
        </w:rPr>
        <w:t xml:space="preserve">“… şüpheliler hakkında ‘soyut kuvvetli suç şüphesinin’ varlığına dayanılarak iletişimin tespiti kararı verilmesi yasaya uygun bulunmamıştır” </w:t>
      </w:r>
      <w:r w:rsidRPr="00D7125A">
        <w:rPr>
          <w:rFonts w:ascii="Arial Narrow" w:hAnsi="Arial Narrow"/>
          <w:sz w:val="19"/>
          <w:szCs w:val="19"/>
        </w:rPr>
        <w:t xml:space="preserve">Yargıtay 16. Ceza Dairesi 21/4/2016 T.,  2015/4672 E., 2016/2330 K. </w:t>
      </w:r>
    </w:p>
  </w:footnote>
  <w:footnote w:id="9">
    <w:p w14:paraId="1A898687"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Yargıtay 16. Ceza Dairesi 21/4/2016 T.,  2015/4672 E., 2016/2330 K. (Ergenekon kararı).</w:t>
      </w:r>
    </w:p>
  </w:footnote>
  <w:footnote w:id="10">
    <w:p w14:paraId="28FA9B8C" w14:textId="77777777" w:rsidR="00281BB0" w:rsidRPr="00D7125A" w:rsidRDefault="00281BB0" w:rsidP="00D7125A">
      <w:pPr>
        <w:pStyle w:val="DIPSON"/>
        <w:keepNext/>
        <w:spacing w:line="240" w:lineRule="auto"/>
        <w:ind w:left="567" w:hanging="567"/>
        <w:rPr>
          <w:rFonts w:ascii="Arial Narrow" w:hAnsi="Arial Narrow" w:cs="Times New Roman"/>
          <w:color w:val="auto"/>
          <w:sz w:val="19"/>
          <w:szCs w:val="19"/>
        </w:rPr>
      </w:pPr>
      <w:r w:rsidRPr="00D7125A">
        <w:rPr>
          <w:rStyle w:val="DipnotBavurusu"/>
          <w:rFonts w:ascii="Arial Narrow" w:hAnsi="Arial Narrow"/>
          <w:sz w:val="19"/>
          <w:szCs w:val="19"/>
          <w:vertAlign w:val="baseline"/>
        </w:rPr>
        <w:footnoteRef/>
      </w:r>
      <w:r w:rsidRPr="00D7125A">
        <w:rPr>
          <w:rFonts w:ascii="Arial Narrow" w:hAnsi="Arial Narrow" w:cs="Times New Roman"/>
          <w:sz w:val="19"/>
          <w:szCs w:val="19"/>
        </w:rPr>
        <w:t xml:space="preserve"> </w:t>
      </w:r>
      <w:r w:rsidRPr="00D7125A">
        <w:rPr>
          <w:rFonts w:ascii="Arial Narrow" w:hAnsi="Arial Narrow" w:cs="Times New Roman"/>
          <w:sz w:val="19"/>
          <w:szCs w:val="19"/>
        </w:rPr>
        <w:tab/>
      </w:r>
      <w:r w:rsidRPr="00D7125A">
        <w:rPr>
          <w:rFonts w:ascii="Arial Narrow" w:hAnsi="Arial Narrow" w:cs="Times New Roman"/>
          <w:color w:val="auto"/>
          <w:sz w:val="19"/>
          <w:szCs w:val="19"/>
        </w:rPr>
        <w:t xml:space="preserve">Yargıtay Ceza Genel Kurulu 25/11/2014 T., 2013/9-841 E., 2014/513 K. </w:t>
      </w:r>
    </w:p>
  </w:footnote>
  <w:footnote w:id="11">
    <w:p w14:paraId="312E0DAC"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 xml:space="preserve">Yargıtay Ceza Genel Kurulu 03/7/2007 T., </w:t>
      </w:r>
      <w:r w:rsidRPr="00D7125A">
        <w:rPr>
          <w:rFonts w:ascii="Arial Narrow" w:hAnsi="Arial Narrow"/>
          <w:sz w:val="19"/>
          <w:szCs w:val="19"/>
          <w:shd w:val="clear" w:color="auto" w:fill="FFFFFF"/>
        </w:rPr>
        <w:t xml:space="preserve">2007/5.MD-23 E., </w:t>
      </w:r>
      <w:r w:rsidRPr="00D7125A">
        <w:rPr>
          <w:rFonts w:ascii="Arial Narrow" w:hAnsi="Arial Narrow"/>
          <w:sz w:val="19"/>
          <w:szCs w:val="19"/>
        </w:rPr>
        <w:t xml:space="preserve">2007/167 K. </w:t>
      </w:r>
    </w:p>
  </w:footnote>
  <w:footnote w:id="12">
    <w:p w14:paraId="4ECF41B8"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 xml:space="preserve">Yargıtay 16. Ceza Dairesi 24/04/2017 T., 2015/3E., 2017/3 K. </w:t>
      </w:r>
    </w:p>
  </w:footnote>
  <w:footnote w:id="13">
    <w:p w14:paraId="00191F91" w14:textId="77777777" w:rsidR="00281BB0" w:rsidRPr="00D7125A" w:rsidRDefault="00281BB0" w:rsidP="00D7125A">
      <w:pPr>
        <w:pStyle w:val="DIPSON"/>
        <w:keepNext/>
        <w:spacing w:line="240" w:lineRule="auto"/>
        <w:ind w:left="567" w:hanging="567"/>
        <w:rPr>
          <w:rFonts w:ascii="Arial Narrow" w:eastAsia="SimSun" w:hAnsi="Arial Narrow" w:cs="Times New Roman"/>
          <w:color w:val="auto"/>
          <w:sz w:val="19"/>
          <w:szCs w:val="19"/>
          <w:lang w:eastAsia="zh-CN"/>
        </w:rPr>
      </w:pPr>
      <w:r w:rsidRPr="00D7125A">
        <w:rPr>
          <w:rStyle w:val="DipnotBavurusu"/>
          <w:rFonts w:ascii="Arial Narrow" w:hAnsi="Arial Narrow"/>
          <w:color w:val="auto"/>
          <w:sz w:val="19"/>
          <w:szCs w:val="19"/>
          <w:vertAlign w:val="baseline"/>
        </w:rPr>
        <w:footnoteRef/>
      </w:r>
      <w:r w:rsidRPr="00D7125A">
        <w:rPr>
          <w:rFonts w:ascii="Arial Narrow" w:hAnsi="Arial Narrow" w:cs="Times New Roman"/>
          <w:color w:val="auto"/>
          <w:sz w:val="19"/>
          <w:szCs w:val="19"/>
        </w:rPr>
        <w:t xml:space="preserve"> </w:t>
      </w:r>
      <w:r w:rsidRPr="00D7125A">
        <w:rPr>
          <w:rFonts w:ascii="Arial Narrow" w:hAnsi="Arial Narrow" w:cs="Times New Roman"/>
          <w:color w:val="auto"/>
          <w:sz w:val="19"/>
          <w:szCs w:val="19"/>
        </w:rPr>
        <w:tab/>
        <w:t xml:space="preserve">Yargıtay Ceza Genel </w:t>
      </w:r>
      <w:r w:rsidRPr="00D7125A">
        <w:rPr>
          <w:rFonts w:ascii="Arial Narrow" w:eastAsia="SimSun" w:hAnsi="Arial Narrow" w:cs="Times New Roman"/>
          <w:color w:val="auto"/>
          <w:sz w:val="19"/>
          <w:szCs w:val="19"/>
          <w:lang w:eastAsia="zh-CN"/>
        </w:rPr>
        <w:t xml:space="preserve">Kurulu </w:t>
      </w:r>
      <w:r w:rsidRPr="00D7125A">
        <w:rPr>
          <w:rFonts w:ascii="Arial Narrow" w:hAnsi="Arial Narrow" w:cs="Times New Roman"/>
          <w:sz w:val="19"/>
          <w:szCs w:val="19"/>
          <w:lang w:eastAsia="zh-CN"/>
        </w:rPr>
        <w:t xml:space="preserve">26/9/2017 T., 2017/16.MD-956 E., 2017/370 K. </w:t>
      </w:r>
    </w:p>
  </w:footnote>
  <w:footnote w:id="14">
    <w:p w14:paraId="5EDCAA7B"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 xml:space="preserve">Yargıtay 16. Ceza Dairesi 24/04/2017 T., 2015/3E., 2017/3 K. </w:t>
      </w:r>
    </w:p>
  </w:footnote>
  <w:footnote w:id="15">
    <w:p w14:paraId="5285225A" w14:textId="77777777" w:rsidR="00281BB0" w:rsidRPr="00D7125A" w:rsidRDefault="00281BB0" w:rsidP="00D7125A">
      <w:pPr>
        <w:pStyle w:val="DIPSON"/>
        <w:keepNext/>
        <w:spacing w:line="240" w:lineRule="auto"/>
        <w:ind w:left="567" w:hanging="567"/>
        <w:rPr>
          <w:rFonts w:ascii="Arial Narrow" w:hAnsi="Arial Narrow" w:cs="Times New Roman"/>
          <w:color w:val="auto"/>
          <w:sz w:val="19"/>
          <w:szCs w:val="19"/>
        </w:rPr>
      </w:pPr>
      <w:r w:rsidRPr="00D7125A">
        <w:rPr>
          <w:rFonts w:ascii="Arial Narrow" w:hAnsi="Arial Narrow" w:cs="Times New Roman"/>
          <w:color w:val="auto"/>
          <w:sz w:val="19"/>
          <w:szCs w:val="19"/>
        </w:rPr>
        <w:footnoteRef/>
      </w:r>
      <w:r w:rsidRPr="00D7125A">
        <w:rPr>
          <w:rFonts w:ascii="Arial Narrow" w:hAnsi="Arial Narrow" w:cs="Times New Roman"/>
          <w:color w:val="auto"/>
          <w:sz w:val="19"/>
          <w:szCs w:val="19"/>
        </w:rPr>
        <w:tab/>
        <w:t>Yargıtay Ceza Genel Kurulu 26/09/2017 T., 2017/16. MD-956 E., 2017/370 K.</w:t>
      </w:r>
    </w:p>
  </w:footnote>
  <w:footnote w:id="16">
    <w:p w14:paraId="5883ACDD" w14:textId="77777777" w:rsidR="00281BB0" w:rsidRPr="00D7125A" w:rsidRDefault="00281BB0" w:rsidP="00D7125A">
      <w:pPr>
        <w:autoSpaceDE w:val="0"/>
        <w:autoSpaceDN w:val="0"/>
        <w:adjustRightInd w:val="0"/>
        <w:spacing w:after="0" w:line="240" w:lineRule="auto"/>
        <w:ind w:left="567" w:hanging="567"/>
        <w:jc w:val="both"/>
        <w:textAlignment w:val="center"/>
        <w:rPr>
          <w:rFonts w:ascii="Arial Narrow" w:hAnsi="Arial Narrow" w:cs="Times New Roman"/>
          <w:i/>
          <w:iCs/>
          <w:sz w:val="19"/>
          <w:szCs w:val="19"/>
        </w:rPr>
      </w:pPr>
      <w:r w:rsidRPr="00D7125A">
        <w:rPr>
          <w:rFonts w:ascii="Arial Narrow" w:hAnsi="Arial Narrow" w:cs="Times New Roman"/>
          <w:sz w:val="19"/>
          <w:szCs w:val="19"/>
        </w:rPr>
        <w:footnoteRef/>
      </w:r>
      <w:r w:rsidRPr="00D7125A">
        <w:rPr>
          <w:rFonts w:ascii="Arial Narrow" w:hAnsi="Arial Narrow" w:cs="Times New Roman"/>
          <w:sz w:val="19"/>
          <w:szCs w:val="19"/>
        </w:rPr>
        <w:t xml:space="preserve"> </w:t>
      </w:r>
      <w:r w:rsidRPr="00D7125A">
        <w:rPr>
          <w:rFonts w:ascii="Arial Narrow" w:hAnsi="Arial Narrow" w:cs="Times New Roman"/>
          <w:sz w:val="19"/>
          <w:szCs w:val="19"/>
        </w:rPr>
        <w:tab/>
        <w:t>Y</w:t>
      </w:r>
      <w:r w:rsidRPr="00D7125A">
        <w:rPr>
          <w:rStyle w:val="HafifVurgulama"/>
          <w:rFonts w:ascii="Arial Narrow" w:hAnsi="Arial Narrow"/>
          <w:i w:val="0"/>
          <w:color w:val="auto"/>
          <w:sz w:val="19"/>
          <w:szCs w:val="19"/>
        </w:rPr>
        <w:t xml:space="preserve">argıtay Ceza Genel Kurulu 20/12/2018 T., 2018/16-419 E., 2018/661 K.; Kararın ilgili kısmı şöyledir: </w:t>
      </w:r>
      <w:r w:rsidRPr="00D7125A">
        <w:rPr>
          <w:rFonts w:ascii="Arial Narrow" w:hAnsi="Arial Narrow" w:cs="Times New Roman"/>
          <w:i/>
          <w:iCs/>
          <w:sz w:val="19"/>
          <w:szCs w:val="19"/>
        </w:rPr>
        <w:t xml:space="preserve">“Ankara Cumhuriyet Başsavcılığınca bilgilendirme amacıyla Yargıtay Ceza Genel Kuruluna sunulan Emniyet Genel Müdürlüğü Kaçakçılık ve Organize Suçlarla Mücadele (KOM) Daire Başkanlığının 11.12.2018 tarihli </w:t>
      </w:r>
      <w:r w:rsidRPr="00D7125A">
        <w:rPr>
          <w:rFonts w:ascii="Arial Narrow" w:hAnsi="Arial Narrow" w:cs="Times New Roman"/>
          <w:b/>
          <w:i/>
          <w:iCs/>
          <w:sz w:val="19"/>
          <w:szCs w:val="19"/>
        </w:rPr>
        <w:t>ByLock Kronoloji Raporunda,</w:t>
      </w:r>
      <w:r w:rsidRPr="00D7125A">
        <w:rPr>
          <w:rFonts w:ascii="Arial Narrow" w:hAnsi="Arial Narrow" w:cs="Times New Roman"/>
          <w:i/>
          <w:iCs/>
          <w:sz w:val="19"/>
          <w:szCs w:val="19"/>
        </w:rPr>
        <w:t xml:space="preserve"> </w:t>
      </w:r>
    </w:p>
    <w:p w14:paraId="4E8B6FC7" w14:textId="77777777" w:rsidR="00281BB0" w:rsidRPr="00D7125A" w:rsidRDefault="00281BB0" w:rsidP="00BA1808">
      <w:pPr>
        <w:autoSpaceDE w:val="0"/>
        <w:autoSpaceDN w:val="0"/>
        <w:adjustRightInd w:val="0"/>
        <w:spacing w:after="0" w:line="240" w:lineRule="auto"/>
        <w:ind w:left="567"/>
        <w:jc w:val="both"/>
        <w:textAlignment w:val="center"/>
        <w:rPr>
          <w:rFonts w:ascii="Arial Narrow" w:hAnsi="Arial Narrow" w:cs="Times New Roman"/>
          <w:i/>
          <w:iCs/>
          <w:sz w:val="19"/>
          <w:szCs w:val="19"/>
        </w:rPr>
      </w:pPr>
      <w:r w:rsidRPr="00D7125A">
        <w:rPr>
          <w:rFonts w:ascii="Arial Narrow" w:hAnsi="Arial Narrow" w:cs="Times New Roman"/>
          <w:i/>
          <w:iCs/>
          <w:sz w:val="19"/>
          <w:szCs w:val="19"/>
        </w:rPr>
        <w:t xml:space="preserve">- MİT tarafından Ankara Cumhuriyet Başsavcılığına kurulan bilgisayarda yer alan </w:t>
      </w:r>
      <w:r w:rsidRPr="00D7125A">
        <w:rPr>
          <w:rFonts w:ascii="Arial Narrow" w:hAnsi="Arial Narrow" w:cs="Times New Roman"/>
          <w:b/>
          <w:i/>
          <w:iCs/>
          <w:sz w:val="19"/>
          <w:szCs w:val="19"/>
        </w:rPr>
        <w:t>BYLOCK VERİLERİNİN 29.11.2016 TARİHİNDE KOM GÖREVLİLERİNCE İMAJI ALINARAK</w:t>
      </w:r>
      <w:r w:rsidRPr="00D7125A">
        <w:rPr>
          <w:rFonts w:ascii="Arial Narrow" w:hAnsi="Arial Narrow" w:cs="Times New Roman"/>
          <w:i/>
          <w:iCs/>
          <w:sz w:val="19"/>
          <w:szCs w:val="19"/>
        </w:rPr>
        <w:t xml:space="preserve"> KOM Daire Başkanlığına gönderildiği, </w:t>
      </w:r>
    </w:p>
    <w:p w14:paraId="564C08CC" w14:textId="77777777" w:rsidR="00281BB0" w:rsidRPr="00D7125A" w:rsidRDefault="00281BB0" w:rsidP="00BA1808">
      <w:pPr>
        <w:autoSpaceDE w:val="0"/>
        <w:autoSpaceDN w:val="0"/>
        <w:adjustRightInd w:val="0"/>
        <w:spacing w:after="0" w:line="240" w:lineRule="auto"/>
        <w:ind w:left="567"/>
        <w:jc w:val="both"/>
        <w:textAlignment w:val="center"/>
        <w:rPr>
          <w:rFonts w:ascii="Arial Narrow" w:hAnsi="Arial Narrow" w:cs="Times New Roman"/>
          <w:i/>
          <w:iCs/>
          <w:sz w:val="19"/>
          <w:szCs w:val="19"/>
        </w:rPr>
      </w:pPr>
      <w:r w:rsidRPr="00D7125A">
        <w:rPr>
          <w:rFonts w:ascii="Arial Narrow" w:hAnsi="Arial Narrow" w:cs="Times New Roman"/>
          <w:i/>
          <w:iCs/>
          <w:sz w:val="19"/>
          <w:szCs w:val="19"/>
        </w:rPr>
        <w:t xml:space="preserve">- Bu verilerin incelenerek adli soruşturma ve kovuşturmalarda kullanılabilmesi için rapor hazırlanması amacıyla </w:t>
      </w:r>
      <w:r w:rsidRPr="00D7125A">
        <w:rPr>
          <w:rFonts w:ascii="Arial Narrow" w:hAnsi="Arial Narrow" w:cs="Times New Roman"/>
          <w:b/>
          <w:i/>
          <w:iCs/>
          <w:sz w:val="19"/>
          <w:szCs w:val="19"/>
        </w:rPr>
        <w:t>01.12.2016 tarihinde</w:t>
      </w:r>
      <w:r w:rsidRPr="00D7125A">
        <w:rPr>
          <w:rFonts w:ascii="Arial Narrow" w:hAnsi="Arial Narrow" w:cs="Times New Roman"/>
          <w:i/>
          <w:iCs/>
          <w:sz w:val="19"/>
          <w:szCs w:val="19"/>
        </w:rPr>
        <w:t xml:space="preserve"> KOM, Terörle Mücadele (TEM), İstihbarat ve Siber Suçlarla Mücadele Daire Başkanlıklarınca görevlendirilen personelden oluşan çalışma grubu kurulduğu ve </w:t>
      </w:r>
      <w:r w:rsidRPr="00D7125A">
        <w:rPr>
          <w:rFonts w:ascii="Arial Narrow" w:hAnsi="Arial Narrow" w:cs="Times New Roman"/>
          <w:b/>
          <w:i/>
          <w:iCs/>
          <w:sz w:val="19"/>
          <w:szCs w:val="19"/>
        </w:rPr>
        <w:t>02.12.2016 tarihinde verilerin incelenmeye başlandığı,</w:t>
      </w:r>
      <w:r w:rsidRPr="00D7125A">
        <w:rPr>
          <w:rFonts w:ascii="Arial Narrow" w:hAnsi="Arial Narrow" w:cs="Times New Roman"/>
          <w:i/>
          <w:iCs/>
          <w:sz w:val="19"/>
          <w:szCs w:val="19"/>
        </w:rPr>
        <w:t xml:space="preserve"> </w:t>
      </w:r>
    </w:p>
    <w:p w14:paraId="3DFA5C57" w14:textId="77777777" w:rsidR="00281BB0" w:rsidRPr="00D7125A" w:rsidRDefault="00281BB0" w:rsidP="00BA1808">
      <w:pPr>
        <w:pStyle w:val="Default"/>
        <w:keepNext/>
        <w:ind w:left="567"/>
        <w:jc w:val="both"/>
        <w:rPr>
          <w:rFonts w:ascii="Arial Narrow" w:hAnsi="Arial Narrow"/>
          <w:color w:val="auto"/>
          <w:sz w:val="19"/>
          <w:szCs w:val="19"/>
        </w:rPr>
      </w:pPr>
      <w:r w:rsidRPr="00D7125A">
        <w:rPr>
          <w:rFonts w:ascii="Arial Narrow" w:hAnsi="Arial Narrow"/>
          <w:i/>
          <w:iCs/>
          <w:sz w:val="19"/>
          <w:szCs w:val="19"/>
        </w:rPr>
        <w:t xml:space="preserve">- Ankara Cumhuriyet Başsavcılığının talimatıyla ByLock sunucusuna ait 9 IP adresine bağlanan </w:t>
      </w:r>
      <w:r w:rsidRPr="00D7125A">
        <w:rPr>
          <w:rFonts w:ascii="Arial Narrow" w:hAnsi="Arial Narrow"/>
          <w:b/>
          <w:i/>
          <w:iCs/>
          <w:sz w:val="19"/>
          <w:szCs w:val="19"/>
        </w:rPr>
        <w:t>abonelere ilişkin 129.862 satırlık “ByLock abone listesi” ve MİT tarafından hazırlanan 88 sayfalık “MİT teknik raporu”nun</w:t>
      </w:r>
      <w:r w:rsidRPr="00D7125A">
        <w:rPr>
          <w:rFonts w:ascii="Arial Narrow" w:hAnsi="Arial Narrow"/>
          <w:i/>
          <w:iCs/>
          <w:sz w:val="19"/>
          <w:szCs w:val="19"/>
        </w:rPr>
        <w:t xml:space="preserve"> 16.12.2016 tarihinde KOM Daire Başkanlığınca teslim alındığı”</w:t>
      </w:r>
    </w:p>
  </w:footnote>
  <w:footnote w:id="17">
    <w:p w14:paraId="48B55477"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Bylock bilgi ve verilerinin istihbari çalışma sonucu elde edildiğine ilişkin MİT tarafından yapılan basın açıklaması için bkz.: https://www.mit.gov.tr/basin60.html</w:t>
      </w:r>
    </w:p>
  </w:footnote>
  <w:footnote w:id="18">
    <w:p w14:paraId="6F76316B"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 xml:space="preserve">AYM’nin 30/12/2015 T., 2014/122 E., 2015/123 K. </w:t>
      </w:r>
    </w:p>
  </w:footnote>
  <w:footnote w:id="19">
    <w:p w14:paraId="2452CE0F" w14:textId="77777777" w:rsidR="00281BB0" w:rsidRPr="00D7125A" w:rsidRDefault="00281BB0" w:rsidP="00D7125A">
      <w:pPr>
        <w:pStyle w:val="DIPSON"/>
        <w:keepNext/>
        <w:spacing w:line="240" w:lineRule="auto"/>
        <w:ind w:left="567" w:hanging="567"/>
        <w:rPr>
          <w:rFonts w:ascii="Arial Narrow" w:hAnsi="Arial Narrow" w:cs="Times New Roman"/>
          <w:color w:val="auto"/>
          <w:sz w:val="19"/>
          <w:szCs w:val="19"/>
        </w:rPr>
      </w:pPr>
      <w:r w:rsidRPr="00D7125A">
        <w:rPr>
          <w:rStyle w:val="DipnotBavurusu"/>
          <w:rFonts w:ascii="Arial Narrow" w:hAnsi="Arial Narrow"/>
          <w:sz w:val="19"/>
          <w:szCs w:val="19"/>
          <w:vertAlign w:val="baseline"/>
        </w:rPr>
        <w:footnoteRef/>
      </w:r>
      <w:r w:rsidRPr="00D7125A">
        <w:rPr>
          <w:rFonts w:ascii="Arial Narrow" w:hAnsi="Arial Narrow" w:cs="Times New Roman"/>
          <w:sz w:val="19"/>
          <w:szCs w:val="19"/>
        </w:rPr>
        <w:t xml:space="preserve"> </w:t>
      </w:r>
      <w:r w:rsidRPr="00D7125A">
        <w:rPr>
          <w:rFonts w:ascii="Arial Narrow" w:hAnsi="Arial Narrow" w:cs="Times New Roman"/>
          <w:sz w:val="19"/>
          <w:szCs w:val="19"/>
        </w:rPr>
        <w:tab/>
      </w:r>
      <w:r w:rsidRPr="00D7125A">
        <w:rPr>
          <w:rFonts w:ascii="Arial Narrow" w:hAnsi="Arial Narrow" w:cs="Times New Roman"/>
          <w:color w:val="auto"/>
          <w:sz w:val="19"/>
          <w:szCs w:val="19"/>
        </w:rPr>
        <w:t>Yargıtay Ceza Genel Kurulu 25/11/2014 T., 2013/9-841 E., 2014/513 K.</w:t>
      </w:r>
    </w:p>
  </w:footnote>
  <w:footnote w:id="20">
    <w:p w14:paraId="17B7D66A" w14:textId="77777777" w:rsidR="00281BB0" w:rsidRPr="00D7125A" w:rsidRDefault="00281BB0" w:rsidP="00D7125A">
      <w:pPr>
        <w:pStyle w:val="DIPSON"/>
        <w:keepNext/>
        <w:spacing w:line="240" w:lineRule="auto"/>
        <w:ind w:left="567" w:hanging="567"/>
        <w:rPr>
          <w:rFonts w:ascii="Arial Narrow" w:hAnsi="Arial Narrow" w:cs="Times New Roman"/>
          <w:color w:val="auto"/>
          <w:sz w:val="19"/>
          <w:szCs w:val="19"/>
        </w:rPr>
      </w:pPr>
      <w:r w:rsidRPr="00D7125A">
        <w:rPr>
          <w:rStyle w:val="DipnotBavurusu"/>
          <w:rFonts w:ascii="Arial Narrow" w:hAnsi="Arial Narrow"/>
          <w:color w:val="auto"/>
          <w:sz w:val="19"/>
          <w:szCs w:val="19"/>
          <w:vertAlign w:val="baseline"/>
        </w:rPr>
        <w:footnoteRef/>
      </w:r>
      <w:r w:rsidRPr="00D7125A">
        <w:rPr>
          <w:rFonts w:ascii="Arial Narrow" w:hAnsi="Arial Narrow" w:cs="Times New Roman"/>
          <w:color w:val="auto"/>
          <w:sz w:val="19"/>
          <w:szCs w:val="19"/>
        </w:rPr>
        <w:t xml:space="preserve"> </w:t>
      </w:r>
      <w:r w:rsidRPr="00D7125A">
        <w:rPr>
          <w:rFonts w:ascii="Arial Narrow" w:hAnsi="Arial Narrow" w:cs="Times New Roman"/>
          <w:color w:val="auto"/>
          <w:sz w:val="19"/>
          <w:szCs w:val="19"/>
        </w:rPr>
        <w:tab/>
      </w:r>
      <w:r w:rsidRPr="00D7125A">
        <w:rPr>
          <w:rFonts w:ascii="Arial Narrow" w:hAnsi="Arial Narrow" w:cs="Times New Roman"/>
          <w:color w:val="auto"/>
          <w:spacing w:val="-2"/>
          <w:sz w:val="19"/>
          <w:szCs w:val="19"/>
        </w:rPr>
        <w:t>Yargıtay Ceza Genel Kurulu 14/03/2017 T., 2016/20-348E., 2017/140 K.;</w:t>
      </w:r>
      <w:r w:rsidRPr="00D7125A">
        <w:rPr>
          <w:rFonts w:ascii="Arial Narrow" w:hAnsi="Arial Narrow" w:cs="Times New Roman"/>
          <w:color w:val="auto"/>
          <w:sz w:val="19"/>
          <w:szCs w:val="19"/>
        </w:rPr>
        <w:t>17/11/2009 T., 2009/160 E., 2009/264K.</w:t>
      </w:r>
    </w:p>
  </w:footnote>
  <w:footnote w:id="21">
    <w:p w14:paraId="02A9667F" w14:textId="77777777" w:rsidR="00281BB0" w:rsidRPr="00D7125A" w:rsidRDefault="00281BB0" w:rsidP="00D7125A">
      <w:pPr>
        <w:pStyle w:val="DIPSON"/>
        <w:keepNext/>
        <w:spacing w:line="240" w:lineRule="auto"/>
        <w:ind w:left="567" w:hanging="567"/>
        <w:rPr>
          <w:rFonts w:ascii="Arial Narrow" w:hAnsi="Arial Narrow" w:cs="Times New Roman"/>
          <w:color w:val="auto"/>
          <w:sz w:val="19"/>
          <w:szCs w:val="19"/>
        </w:rPr>
      </w:pPr>
      <w:r w:rsidRPr="00D7125A">
        <w:rPr>
          <w:rFonts w:ascii="Arial Narrow" w:hAnsi="Arial Narrow" w:cs="Times New Roman"/>
          <w:color w:val="auto"/>
          <w:sz w:val="19"/>
          <w:szCs w:val="19"/>
        </w:rPr>
        <w:footnoteRef/>
      </w:r>
      <w:r w:rsidRPr="00D7125A">
        <w:rPr>
          <w:rFonts w:ascii="Arial Narrow" w:hAnsi="Arial Narrow" w:cs="Times New Roman"/>
          <w:color w:val="auto"/>
          <w:sz w:val="19"/>
          <w:szCs w:val="19"/>
        </w:rPr>
        <w:t xml:space="preserve"> </w:t>
      </w:r>
      <w:r w:rsidRPr="00D7125A">
        <w:rPr>
          <w:rFonts w:ascii="Arial Narrow" w:hAnsi="Arial Narrow" w:cs="Times New Roman"/>
          <w:color w:val="auto"/>
          <w:sz w:val="19"/>
          <w:szCs w:val="19"/>
        </w:rPr>
        <w:tab/>
        <w:t>AYM’nin Orhan Kılıç Kararı, (Genel Kurul), B. No:2014/4704, 01/02/2018.</w:t>
      </w:r>
    </w:p>
  </w:footnote>
  <w:footnote w:id="22">
    <w:p w14:paraId="73EE14B8"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i/>
          <w:sz w:val="19"/>
          <w:szCs w:val="19"/>
        </w:rPr>
        <w:t xml:space="preserve"> </w:t>
      </w:r>
      <w:r w:rsidRPr="00D7125A">
        <w:rPr>
          <w:rFonts w:ascii="Arial Narrow" w:hAnsi="Arial Narrow"/>
          <w:i/>
          <w:sz w:val="19"/>
          <w:szCs w:val="19"/>
        </w:rPr>
        <w:tab/>
        <w:t xml:space="preserve"> </w:t>
      </w:r>
      <w:r w:rsidRPr="00D7125A">
        <w:rPr>
          <w:rFonts w:ascii="Arial Narrow" w:hAnsi="Arial Narrow"/>
          <w:sz w:val="19"/>
          <w:szCs w:val="19"/>
        </w:rPr>
        <w:t>Yargıtay Ceza Genel Kurulu 17.11.1986 T., 1986/6-398 E., 1986/522 K. </w:t>
      </w:r>
    </w:p>
  </w:footnote>
  <w:footnote w:id="23">
    <w:p w14:paraId="0F9DC7B0"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r>
      <w:r w:rsidRPr="00D7125A">
        <w:rPr>
          <w:rFonts w:ascii="Arial Narrow" w:hAnsi="Arial Narrow"/>
          <w:iCs/>
          <w:sz w:val="19"/>
          <w:szCs w:val="19"/>
        </w:rPr>
        <w:t>Yargıtay 16. Ceza Dairesi 12/9/2018 T., 2018/2944 E., 2018/2741 K.</w:t>
      </w:r>
    </w:p>
  </w:footnote>
  <w:footnote w:id="24">
    <w:p w14:paraId="330273B2" w14:textId="77777777" w:rsidR="00281BB0" w:rsidRPr="00D7125A" w:rsidRDefault="00281BB0" w:rsidP="00D7125A">
      <w:pPr>
        <w:pStyle w:val="NormalWeb"/>
        <w:spacing w:before="0" w:beforeAutospacing="0" w:after="0" w:afterAutospacing="0"/>
        <w:ind w:left="567" w:hanging="567"/>
        <w:jc w:val="both"/>
        <w:rPr>
          <w:rFonts w:ascii="Arial Narrow" w:eastAsia="Andale Sans UI" w:hAnsi="Arial Narrow"/>
          <w:kern w:val="1"/>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i/>
          <w:sz w:val="19"/>
          <w:szCs w:val="19"/>
        </w:rPr>
        <w:tab/>
      </w:r>
      <w:r w:rsidRPr="00D7125A">
        <w:rPr>
          <w:rFonts w:ascii="Arial Narrow" w:hAnsi="Arial Narrow"/>
          <w:sz w:val="19"/>
          <w:szCs w:val="19"/>
        </w:rPr>
        <w:t>Yargıtay 9. Ceza Dairesi 28/6/2010 T., 2010/4770 E., 2010/7689 K.; 16 Ceza Dairesi 25/5/2015 T., 2015/1093 E., 2015/1439 K.; Yargıtay 6. Ceza Dairesi 07/02/2008 T., 2008/4964 E., 2008/14382 K.</w:t>
      </w:r>
    </w:p>
  </w:footnote>
  <w:footnote w:id="25">
    <w:p w14:paraId="001D3575"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 xml:space="preserve">Yargıtay Ceza Genel Kurulu 17/12/1996 T.,  1996/10-275 E., 1996/288 K. </w:t>
      </w:r>
    </w:p>
  </w:footnote>
  <w:footnote w:id="26">
    <w:p w14:paraId="7B98690C"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t xml:space="preserve">Yargıtay Ceza Genel Kurulu 26/05/1998 T., 1998/1-110 E., 1998/181 K. </w:t>
      </w:r>
    </w:p>
  </w:footnote>
  <w:footnote w:id="27">
    <w:p w14:paraId="2102DD43" w14:textId="77777777" w:rsidR="00281BB0" w:rsidRPr="00D7125A" w:rsidRDefault="00281BB0"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r>
      <w:r w:rsidRPr="00D7125A">
        <w:rPr>
          <w:rFonts w:ascii="Arial Narrow" w:hAnsi="Arial Narrow"/>
          <w:i/>
          <w:sz w:val="19"/>
          <w:szCs w:val="19"/>
        </w:rPr>
        <w:t>Van Mechelen ve Diğerleri/Hollanda</w:t>
      </w:r>
      <w:r w:rsidRPr="00D7125A">
        <w:rPr>
          <w:rFonts w:ascii="Arial Narrow" w:hAnsi="Arial Narrow"/>
          <w:sz w:val="19"/>
          <w:szCs w:val="19"/>
        </w:rPr>
        <w:t xml:space="preserve">, B. No: 22056/93, 23/4/1997, </w:t>
      </w:r>
      <w:r w:rsidRPr="00D7125A">
        <w:rPr>
          <w:rFonts w:ascii="Arial Narrow" w:hAnsi="Arial Narrow"/>
          <w:color w:val="000000"/>
          <w:sz w:val="19"/>
          <w:szCs w:val="19"/>
          <w:shd w:val="clear" w:color="auto" w:fill="FFFFFF"/>
        </w:rPr>
        <w:t xml:space="preserve">§§ </w:t>
      </w:r>
      <w:r w:rsidRPr="00D7125A">
        <w:rPr>
          <w:rFonts w:ascii="Arial Narrow" w:hAnsi="Arial Narrow"/>
          <w:sz w:val="19"/>
          <w:szCs w:val="19"/>
        </w:rPr>
        <w:t xml:space="preserve">53-54; </w:t>
      </w:r>
      <w:r w:rsidRPr="00D7125A">
        <w:rPr>
          <w:rFonts w:ascii="Arial Narrow" w:hAnsi="Arial Narrow"/>
          <w:i/>
          <w:sz w:val="19"/>
          <w:szCs w:val="19"/>
        </w:rPr>
        <w:t>Labita/İtalya</w:t>
      </w:r>
      <w:r w:rsidRPr="00D7125A">
        <w:rPr>
          <w:rFonts w:ascii="Arial Narrow" w:hAnsi="Arial Narrow"/>
          <w:sz w:val="19"/>
          <w:szCs w:val="19"/>
        </w:rPr>
        <w:t xml:space="preserve">, B. No: 26772/95, 06/4/2000, </w:t>
      </w:r>
      <w:r w:rsidRPr="00D7125A">
        <w:rPr>
          <w:rFonts w:ascii="Arial Narrow" w:hAnsi="Arial Narrow"/>
          <w:color w:val="000000"/>
          <w:sz w:val="19"/>
          <w:szCs w:val="19"/>
          <w:shd w:val="clear" w:color="auto" w:fill="FFFFFF"/>
        </w:rPr>
        <w:t>§§</w:t>
      </w:r>
      <w:r w:rsidRPr="00D7125A">
        <w:rPr>
          <w:rFonts w:ascii="Arial Narrow" w:hAnsi="Arial Narrow"/>
          <w:sz w:val="19"/>
          <w:szCs w:val="19"/>
        </w:rPr>
        <w:t xml:space="preserve"> 156 vd; </w:t>
      </w:r>
      <w:r w:rsidRPr="00D7125A">
        <w:rPr>
          <w:rFonts w:ascii="Arial Narrow" w:hAnsi="Arial Narrow"/>
          <w:i/>
          <w:sz w:val="19"/>
          <w:szCs w:val="19"/>
        </w:rPr>
        <w:t>Adamco/Slovakya</w:t>
      </w:r>
      <w:r w:rsidRPr="00D7125A">
        <w:rPr>
          <w:rFonts w:ascii="Arial Narrow" w:hAnsi="Arial Narrow"/>
          <w:sz w:val="19"/>
          <w:szCs w:val="19"/>
        </w:rPr>
        <w:t xml:space="preserve">, B. No: 45084/14, 12/11/2019, </w:t>
      </w:r>
      <w:r w:rsidRPr="00D7125A">
        <w:rPr>
          <w:rFonts w:ascii="Arial Narrow" w:hAnsi="Arial Narrow"/>
          <w:color w:val="000000"/>
          <w:sz w:val="19"/>
          <w:szCs w:val="19"/>
          <w:shd w:val="clear" w:color="auto" w:fill="FFFFFF"/>
        </w:rPr>
        <w:t>§§ 68-71.</w:t>
      </w:r>
    </w:p>
  </w:footnote>
  <w:footnote w:id="28">
    <w:p w14:paraId="3E821428" w14:textId="77777777" w:rsidR="00D7125A" w:rsidRPr="00D7125A" w:rsidRDefault="00D7125A"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rPr>
        <w:footnoteRef/>
      </w:r>
      <w:r w:rsidRPr="00D7125A">
        <w:rPr>
          <w:rFonts w:ascii="Arial Narrow" w:hAnsi="Arial Narrow"/>
          <w:sz w:val="19"/>
          <w:szCs w:val="19"/>
        </w:rPr>
        <w:t xml:space="preserve"> </w:t>
      </w:r>
      <w:r w:rsidRPr="00D7125A">
        <w:rPr>
          <w:rFonts w:ascii="Arial Narrow" w:hAnsi="Arial Narrow"/>
          <w:sz w:val="19"/>
          <w:szCs w:val="19"/>
        </w:rPr>
        <w:tab/>
        <w:t xml:space="preserve">Yargıtay 9. Ceza Dairesinin 05/7/1996 T., 1996/1935 E., 1996/4324 K., (Devrimci Halk Kurtuluş Partisi Cephesi (DHKP/C);  27/10/1999T., 1999/245 E., 1999/3449 K., (THKP/C - DEV-SOL Silahlı Devrimci Birlikler (SDB); </w:t>
      </w:r>
    </w:p>
  </w:footnote>
  <w:footnote w:id="29">
    <w:p w14:paraId="1F4C2B5C" w14:textId="77777777" w:rsidR="00D7125A" w:rsidRPr="00D7125A" w:rsidRDefault="00D7125A" w:rsidP="00D7125A">
      <w:pPr>
        <w:pStyle w:val="JuPara"/>
        <w:ind w:left="567" w:hanging="567"/>
        <w:rPr>
          <w:rFonts w:ascii="Arial Narrow" w:hAnsi="Arial Narrow"/>
          <w:sz w:val="19"/>
          <w:szCs w:val="19"/>
          <w:lang w:val="tr-TR"/>
        </w:rPr>
      </w:pPr>
      <w:r w:rsidRPr="00D7125A">
        <w:rPr>
          <w:rStyle w:val="DipnotBavurusu"/>
          <w:rFonts w:ascii="Arial Narrow" w:hAnsi="Arial Narrow"/>
          <w:sz w:val="19"/>
          <w:szCs w:val="19"/>
        </w:rPr>
        <w:footnoteRef/>
      </w:r>
      <w:r w:rsidRPr="00D7125A">
        <w:rPr>
          <w:rFonts w:ascii="Arial Narrow" w:hAnsi="Arial Narrow"/>
          <w:sz w:val="19"/>
          <w:szCs w:val="19"/>
          <w:lang w:val="tr-TR"/>
        </w:rPr>
        <w:t xml:space="preserve"> </w:t>
      </w:r>
      <w:r w:rsidRPr="00D7125A">
        <w:rPr>
          <w:rFonts w:ascii="Arial Narrow" w:hAnsi="Arial Narrow"/>
          <w:sz w:val="19"/>
          <w:szCs w:val="19"/>
          <w:lang w:val="tr-TR"/>
        </w:rPr>
        <w:tab/>
        <w:t>Yargıtay Ceza Genel Kurulunun 26/9/2017 T., 2017/16-956 E., 2017/370 K.</w:t>
      </w:r>
    </w:p>
    <w:p w14:paraId="48282051" w14:textId="77777777" w:rsidR="00D7125A" w:rsidRPr="00D7125A" w:rsidRDefault="00D7125A" w:rsidP="00D7125A">
      <w:pPr>
        <w:pStyle w:val="DipnotMetni"/>
        <w:ind w:left="567" w:hanging="567"/>
        <w:rPr>
          <w:rFonts w:ascii="Arial Narrow" w:hAnsi="Arial Narrow"/>
          <w:sz w:val="19"/>
          <w:szCs w:val="19"/>
        </w:rPr>
      </w:pPr>
    </w:p>
  </w:footnote>
  <w:footnote w:id="30">
    <w:p w14:paraId="466CB099" w14:textId="77777777" w:rsidR="00D7125A" w:rsidRPr="00D7125A" w:rsidRDefault="00D7125A" w:rsidP="00D7125A">
      <w:pPr>
        <w:pStyle w:val="DipnotMetni"/>
        <w:ind w:left="567" w:hanging="567"/>
        <w:rPr>
          <w:rFonts w:ascii="Arial Narrow" w:hAnsi="Arial Narrow"/>
          <w:sz w:val="19"/>
          <w:szCs w:val="19"/>
        </w:rPr>
      </w:pPr>
      <w:r w:rsidRPr="00D7125A">
        <w:rPr>
          <w:rStyle w:val="DipnotBavurusu"/>
          <w:rFonts w:ascii="Arial Narrow" w:hAnsi="Arial Narrow"/>
          <w:sz w:val="19"/>
          <w:szCs w:val="19"/>
        </w:rPr>
        <w:footnoteRef/>
      </w:r>
      <w:r w:rsidRPr="00D7125A">
        <w:rPr>
          <w:rFonts w:ascii="Arial Narrow" w:hAnsi="Arial Narrow"/>
          <w:sz w:val="19"/>
          <w:szCs w:val="19"/>
        </w:rPr>
        <w:t xml:space="preserve">  </w:t>
      </w:r>
      <w:r w:rsidRPr="00D7125A">
        <w:rPr>
          <w:rFonts w:ascii="Arial Narrow" w:hAnsi="Arial Narrow"/>
          <w:sz w:val="19"/>
          <w:szCs w:val="19"/>
        </w:rPr>
        <w:tab/>
        <w:t>[BD], B. No:22429/07 ve 25195/07, 03/12/2019.</w:t>
      </w:r>
    </w:p>
  </w:footnote>
  <w:footnote w:id="31">
    <w:p w14:paraId="52BFAA02" w14:textId="77777777" w:rsidR="00D7125A" w:rsidRPr="00D7125A" w:rsidRDefault="00D7125A"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r>
      <w:r w:rsidRPr="00D7125A">
        <w:rPr>
          <w:rFonts w:ascii="Arial Narrow" w:hAnsi="Arial Narrow"/>
          <w:color w:val="333333"/>
          <w:sz w:val="19"/>
          <w:szCs w:val="19"/>
          <w:shd w:val="clear" w:color="auto" w:fill="FFFFFF"/>
        </w:rPr>
        <w:t>Yargıtay 9. Ceza Dairesi 07.3.2002 T., 2001/2894 E., 2002/437 K.</w:t>
      </w:r>
    </w:p>
  </w:footnote>
  <w:footnote w:id="32">
    <w:p w14:paraId="1DE9F30F" w14:textId="77777777" w:rsidR="00D7125A" w:rsidRPr="00D7125A" w:rsidRDefault="00D7125A" w:rsidP="00D7125A">
      <w:pPr>
        <w:pStyle w:val="DipnotMetni"/>
        <w:spacing w:after="0" w:line="240" w:lineRule="auto"/>
        <w:ind w:left="567" w:hanging="567"/>
        <w:rPr>
          <w:rFonts w:ascii="Arial Narrow" w:eastAsia="Times New Roman" w:hAnsi="Arial Narrow"/>
          <w:color w:val="222222"/>
          <w:sz w:val="19"/>
          <w:szCs w:val="19"/>
          <w:lang w:eastAsia="en-GB"/>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r>
      <w:r w:rsidRPr="00D7125A">
        <w:rPr>
          <w:rFonts w:ascii="Arial Narrow" w:hAnsi="Arial Narrow"/>
          <w:i/>
          <w:sz w:val="19"/>
          <w:szCs w:val="19"/>
        </w:rPr>
        <w:t>Selahattin Demirtaş/Türkiye (no. 2)</w:t>
      </w:r>
      <w:r w:rsidRPr="00D7125A">
        <w:rPr>
          <w:rFonts w:ascii="Arial Narrow" w:hAnsi="Arial Narrow"/>
          <w:sz w:val="19"/>
          <w:szCs w:val="19"/>
        </w:rPr>
        <w:t xml:space="preserve"> [BD], B. No: </w:t>
      </w:r>
      <w:r w:rsidRPr="00D7125A">
        <w:rPr>
          <w:rFonts w:ascii="Arial Narrow" w:eastAsia="Times New Roman" w:hAnsi="Arial Narrow"/>
          <w:color w:val="222222"/>
          <w:sz w:val="19"/>
          <w:szCs w:val="19"/>
          <w:lang w:eastAsia="en-GB"/>
        </w:rPr>
        <w:t xml:space="preserve">14305/17, 22/12/2020, </w:t>
      </w:r>
      <w:r w:rsidRPr="00D7125A">
        <w:rPr>
          <w:rFonts w:ascii="Arial Narrow" w:hAnsi="Arial Narrow"/>
          <w:sz w:val="19"/>
          <w:szCs w:val="19"/>
        </w:rPr>
        <w:t xml:space="preserve">§ 280 ve 337. Ayrıca, kıyasen bkz. </w:t>
      </w:r>
      <w:r w:rsidRPr="00D7125A">
        <w:rPr>
          <w:rFonts w:ascii="Arial Narrow" w:hAnsi="Arial Narrow"/>
          <w:i/>
          <w:sz w:val="19"/>
          <w:szCs w:val="19"/>
        </w:rPr>
        <w:t>Ragıp Zarakolu/Türkiye</w:t>
      </w:r>
      <w:r w:rsidRPr="00D7125A">
        <w:rPr>
          <w:rFonts w:ascii="Arial Narrow" w:hAnsi="Arial Narrow"/>
          <w:sz w:val="19"/>
          <w:szCs w:val="19"/>
        </w:rPr>
        <w:t xml:space="preserve">, B. </w:t>
      </w:r>
      <w:r w:rsidRPr="00D7125A">
        <w:rPr>
          <w:rFonts w:ascii="Arial Narrow" w:eastAsia="Times New Roman" w:hAnsi="Arial Narrow"/>
          <w:color w:val="212121"/>
          <w:sz w:val="19"/>
          <w:szCs w:val="19"/>
          <w:lang w:eastAsia="en-GB"/>
        </w:rPr>
        <w:t xml:space="preserve">No: 15064/12, 15/9/2020, </w:t>
      </w:r>
      <w:r w:rsidRPr="00D7125A">
        <w:rPr>
          <w:rFonts w:ascii="Arial Narrow" w:hAnsi="Arial Narrow"/>
          <w:sz w:val="19"/>
          <w:szCs w:val="19"/>
        </w:rPr>
        <w:t xml:space="preserve">§§ 44-46; </w:t>
      </w:r>
      <w:r w:rsidRPr="00D7125A">
        <w:rPr>
          <w:rFonts w:ascii="Arial Narrow" w:hAnsi="Arial Narrow"/>
          <w:i/>
          <w:sz w:val="19"/>
          <w:szCs w:val="19"/>
        </w:rPr>
        <w:t>Atilla Taş/</w:t>
      </w:r>
      <w:r w:rsidRPr="00D7125A">
        <w:rPr>
          <w:rFonts w:ascii="Arial Narrow" w:eastAsia="Times New Roman" w:hAnsi="Arial Narrow"/>
          <w:i/>
          <w:color w:val="222222"/>
          <w:sz w:val="19"/>
          <w:szCs w:val="19"/>
          <w:lang w:eastAsia="en-GB"/>
        </w:rPr>
        <w:t>Türkiye</w:t>
      </w:r>
      <w:r w:rsidRPr="00D7125A">
        <w:rPr>
          <w:rFonts w:ascii="Arial Narrow" w:eastAsia="Times New Roman" w:hAnsi="Arial Narrow"/>
          <w:color w:val="222222"/>
          <w:sz w:val="19"/>
          <w:szCs w:val="19"/>
          <w:lang w:eastAsia="en-GB"/>
        </w:rPr>
        <w:t xml:space="preserve">, B. No: 72/17, 19/1/2021, §§ 137-139; </w:t>
      </w:r>
      <w:r w:rsidRPr="00D7125A">
        <w:rPr>
          <w:rFonts w:ascii="Arial Narrow" w:hAnsi="Arial Narrow"/>
          <w:i/>
          <w:sz w:val="19"/>
          <w:szCs w:val="19"/>
        </w:rPr>
        <w:t>İmret/Türkiye</w:t>
      </w:r>
      <w:r w:rsidRPr="00D7125A">
        <w:rPr>
          <w:rFonts w:ascii="Arial Narrow" w:hAnsi="Arial Narrow"/>
          <w:sz w:val="19"/>
          <w:szCs w:val="19"/>
        </w:rPr>
        <w:t xml:space="preserve">, B. No: 57316/10, 10/7/2018, § 58; </w:t>
      </w:r>
      <w:r w:rsidRPr="00D7125A">
        <w:rPr>
          <w:rFonts w:ascii="Arial Narrow" w:hAnsi="Arial Narrow"/>
          <w:i/>
          <w:sz w:val="19"/>
          <w:szCs w:val="19"/>
        </w:rPr>
        <w:t>Işıkırık/Türkiye</w:t>
      </w:r>
      <w:r w:rsidRPr="00D7125A">
        <w:rPr>
          <w:rFonts w:ascii="Arial Narrow" w:hAnsi="Arial Narrow"/>
          <w:sz w:val="19"/>
          <w:szCs w:val="19"/>
        </w:rPr>
        <w:t>, B. No: 41226/09, 14/11/2017.</w:t>
      </w:r>
    </w:p>
  </w:footnote>
  <w:footnote w:id="33">
    <w:p w14:paraId="331E423E" w14:textId="77777777" w:rsidR="00D7125A" w:rsidRPr="00D7125A" w:rsidRDefault="00D7125A" w:rsidP="00D7125A">
      <w:pPr>
        <w:pStyle w:val="DipnotMetni"/>
        <w:spacing w:after="0" w:line="240" w:lineRule="auto"/>
        <w:ind w:left="567" w:hanging="567"/>
        <w:rPr>
          <w:rFonts w:ascii="Arial Narrow" w:hAnsi="Arial Narrow"/>
          <w:sz w:val="19"/>
          <w:szCs w:val="19"/>
        </w:rPr>
      </w:pPr>
      <w:r w:rsidRPr="00D7125A">
        <w:rPr>
          <w:rStyle w:val="DipnotBavurusu"/>
          <w:rFonts w:ascii="Arial Narrow" w:hAnsi="Arial Narrow"/>
          <w:sz w:val="19"/>
          <w:szCs w:val="19"/>
          <w:vertAlign w:val="baseline"/>
        </w:rPr>
        <w:footnoteRef/>
      </w:r>
      <w:r w:rsidRPr="00D7125A">
        <w:rPr>
          <w:rFonts w:ascii="Arial Narrow" w:hAnsi="Arial Narrow"/>
          <w:sz w:val="19"/>
          <w:szCs w:val="19"/>
        </w:rPr>
        <w:t xml:space="preserve">  </w:t>
      </w:r>
      <w:r w:rsidRPr="00D7125A">
        <w:rPr>
          <w:rFonts w:ascii="Arial Narrow" w:hAnsi="Arial Narrow"/>
          <w:sz w:val="19"/>
          <w:szCs w:val="19"/>
        </w:rPr>
        <w:tab/>
      </w:r>
      <w:r w:rsidRPr="00D7125A">
        <w:rPr>
          <w:rFonts w:ascii="Arial Narrow" w:hAnsi="Arial Narrow"/>
          <w:i/>
          <w:sz w:val="19"/>
          <w:szCs w:val="19"/>
        </w:rPr>
        <w:t>Selahattin Demirtaş/Türkiye (no. 2)</w:t>
      </w:r>
      <w:r w:rsidRPr="00D7125A">
        <w:rPr>
          <w:rFonts w:ascii="Arial Narrow" w:hAnsi="Arial Narrow"/>
          <w:sz w:val="19"/>
          <w:szCs w:val="19"/>
        </w:rPr>
        <w:t xml:space="preserve"> [BD], B. No: </w:t>
      </w:r>
      <w:r w:rsidRPr="00D7125A">
        <w:rPr>
          <w:rFonts w:ascii="Arial Narrow" w:eastAsia="Times New Roman" w:hAnsi="Arial Narrow"/>
          <w:color w:val="222222"/>
          <w:sz w:val="19"/>
          <w:szCs w:val="19"/>
          <w:lang w:eastAsia="en-GB"/>
        </w:rPr>
        <w:t xml:space="preserve">14305/17, 22/12/2020, </w:t>
      </w:r>
      <w:r w:rsidRPr="00D7125A">
        <w:rPr>
          <w:rFonts w:ascii="Arial Narrow" w:hAnsi="Arial Narrow"/>
          <w:sz w:val="19"/>
          <w:szCs w:val="19"/>
        </w:rPr>
        <w:t>§ 160.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64A"/>
    <w:multiLevelType w:val="hybridMultilevel"/>
    <w:tmpl w:val="8F6C967E"/>
    <w:lvl w:ilvl="0" w:tplc="3D3C9460">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53316BB"/>
    <w:multiLevelType w:val="hybridMultilevel"/>
    <w:tmpl w:val="8D1A89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22A56"/>
    <w:multiLevelType w:val="hybridMultilevel"/>
    <w:tmpl w:val="016A7C42"/>
    <w:lvl w:ilvl="0" w:tplc="2676E1C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5B0D48"/>
    <w:multiLevelType w:val="hybridMultilevel"/>
    <w:tmpl w:val="C42ED220"/>
    <w:lvl w:ilvl="0" w:tplc="76E6DD7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1C14E7"/>
    <w:multiLevelType w:val="hybridMultilevel"/>
    <w:tmpl w:val="94DC4876"/>
    <w:lvl w:ilvl="0" w:tplc="198ED45E">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443F61"/>
    <w:multiLevelType w:val="hybridMultilevel"/>
    <w:tmpl w:val="54F0F760"/>
    <w:lvl w:ilvl="0" w:tplc="B69C1E56">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408C0A43"/>
    <w:multiLevelType w:val="hybridMultilevel"/>
    <w:tmpl w:val="3A0A2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1C70BE"/>
    <w:multiLevelType w:val="hybridMultilevel"/>
    <w:tmpl w:val="03D6A99E"/>
    <w:lvl w:ilvl="0" w:tplc="CBAAD222">
      <w:start w:val="1"/>
      <w:numFmt w:val="lowerRoman"/>
      <w:lvlText w:val="(%1)"/>
      <w:lvlJc w:val="left"/>
      <w:pPr>
        <w:ind w:left="1146" w:hanging="720"/>
      </w:pPr>
      <w:rPr>
        <w:rFonts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D03330B"/>
    <w:multiLevelType w:val="hybridMultilevel"/>
    <w:tmpl w:val="19D42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446E38"/>
    <w:multiLevelType w:val="hybridMultilevel"/>
    <w:tmpl w:val="9360627A"/>
    <w:lvl w:ilvl="0" w:tplc="7908CE70">
      <w:start w:val="1"/>
      <w:numFmt w:val="decimal"/>
      <w:lvlText w:val="%1."/>
      <w:lvlJc w:val="left"/>
      <w:pPr>
        <w:ind w:left="360" w:hanging="360"/>
      </w:pPr>
      <w:rPr>
        <w:rFonts w:ascii="Arial" w:hAnsi="Arial" w:cs="Arial" w:hint="default"/>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5C2404E"/>
    <w:multiLevelType w:val="hybridMultilevel"/>
    <w:tmpl w:val="37067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BB5F97"/>
    <w:multiLevelType w:val="hybridMultilevel"/>
    <w:tmpl w:val="C904437E"/>
    <w:lvl w:ilvl="0" w:tplc="9EF2306A">
      <w:start w:val="1"/>
      <w:numFmt w:val="decimal"/>
      <w:lvlText w:val="%1."/>
      <w:lvlJc w:val="left"/>
      <w:pPr>
        <w:ind w:left="720" w:hanging="360"/>
      </w:pPr>
      <w:rPr>
        <w:rFonts w:eastAsiaTheme="minorHAns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9141782">
    <w:abstractNumId w:val="4"/>
  </w:num>
  <w:num w:numId="2" w16cid:durableId="1853253058">
    <w:abstractNumId w:val="0"/>
  </w:num>
  <w:num w:numId="3" w16cid:durableId="985234322">
    <w:abstractNumId w:val="7"/>
  </w:num>
  <w:num w:numId="4" w16cid:durableId="1550415875">
    <w:abstractNumId w:val="5"/>
  </w:num>
  <w:num w:numId="5" w16cid:durableId="2076707824">
    <w:abstractNumId w:val="9"/>
  </w:num>
  <w:num w:numId="6" w16cid:durableId="2073888615">
    <w:abstractNumId w:val="10"/>
  </w:num>
  <w:num w:numId="7" w16cid:durableId="1472091962">
    <w:abstractNumId w:val="6"/>
  </w:num>
  <w:num w:numId="8" w16cid:durableId="1082946754">
    <w:abstractNumId w:val="11"/>
  </w:num>
  <w:num w:numId="9" w16cid:durableId="1429082964">
    <w:abstractNumId w:val="1"/>
  </w:num>
  <w:num w:numId="10" w16cid:durableId="112484246">
    <w:abstractNumId w:val="8"/>
  </w:num>
  <w:num w:numId="11" w16cid:durableId="790830272">
    <w:abstractNumId w:val="2"/>
  </w:num>
  <w:num w:numId="12" w16cid:durableId="1886869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ExNjMzNzc3tTBW0lEKTi0uzszPAykwrAUAYGztyywAAAA="/>
  </w:docVars>
  <w:rsids>
    <w:rsidRoot w:val="00E10E90"/>
    <w:rsid w:val="00000597"/>
    <w:rsid w:val="000033BB"/>
    <w:rsid w:val="000044E5"/>
    <w:rsid w:val="00004A14"/>
    <w:rsid w:val="00004B89"/>
    <w:rsid w:val="00005319"/>
    <w:rsid w:val="000055CF"/>
    <w:rsid w:val="000078B1"/>
    <w:rsid w:val="000145BC"/>
    <w:rsid w:val="000148A3"/>
    <w:rsid w:val="00020BAA"/>
    <w:rsid w:val="00020C5E"/>
    <w:rsid w:val="00021851"/>
    <w:rsid w:val="00022A97"/>
    <w:rsid w:val="00026715"/>
    <w:rsid w:val="00030525"/>
    <w:rsid w:val="00032BD6"/>
    <w:rsid w:val="00032EB1"/>
    <w:rsid w:val="00036A0E"/>
    <w:rsid w:val="00043E3C"/>
    <w:rsid w:val="00044762"/>
    <w:rsid w:val="0004508C"/>
    <w:rsid w:val="0005140D"/>
    <w:rsid w:val="00052037"/>
    <w:rsid w:val="0005398E"/>
    <w:rsid w:val="00054B7E"/>
    <w:rsid w:val="00055571"/>
    <w:rsid w:val="00061EAA"/>
    <w:rsid w:val="00070177"/>
    <w:rsid w:val="00070484"/>
    <w:rsid w:val="000707C0"/>
    <w:rsid w:val="00070A4D"/>
    <w:rsid w:val="00074174"/>
    <w:rsid w:val="00074D47"/>
    <w:rsid w:val="00074FC0"/>
    <w:rsid w:val="00081330"/>
    <w:rsid w:val="000819DB"/>
    <w:rsid w:val="0008253A"/>
    <w:rsid w:val="00082FEB"/>
    <w:rsid w:val="00083A43"/>
    <w:rsid w:val="00083A54"/>
    <w:rsid w:val="000861AC"/>
    <w:rsid w:val="00086D26"/>
    <w:rsid w:val="00090EFC"/>
    <w:rsid w:val="000910AB"/>
    <w:rsid w:val="00093F93"/>
    <w:rsid w:val="00094923"/>
    <w:rsid w:val="00095E04"/>
    <w:rsid w:val="000962FA"/>
    <w:rsid w:val="00096438"/>
    <w:rsid w:val="0009745D"/>
    <w:rsid w:val="000A3D1B"/>
    <w:rsid w:val="000A7B71"/>
    <w:rsid w:val="000B12B5"/>
    <w:rsid w:val="000B1C7C"/>
    <w:rsid w:val="000B382A"/>
    <w:rsid w:val="000B5F08"/>
    <w:rsid w:val="000C0678"/>
    <w:rsid w:val="000C3B3F"/>
    <w:rsid w:val="000C5929"/>
    <w:rsid w:val="000C70E8"/>
    <w:rsid w:val="000C7D02"/>
    <w:rsid w:val="000D0443"/>
    <w:rsid w:val="000D2042"/>
    <w:rsid w:val="000D611B"/>
    <w:rsid w:val="000D6F10"/>
    <w:rsid w:val="000D7A7B"/>
    <w:rsid w:val="000D7F78"/>
    <w:rsid w:val="000E232F"/>
    <w:rsid w:val="000E27CC"/>
    <w:rsid w:val="000E5718"/>
    <w:rsid w:val="000E73E9"/>
    <w:rsid w:val="000F23D4"/>
    <w:rsid w:val="000F27F9"/>
    <w:rsid w:val="000F6463"/>
    <w:rsid w:val="00100254"/>
    <w:rsid w:val="001006DD"/>
    <w:rsid w:val="001006FF"/>
    <w:rsid w:val="00104831"/>
    <w:rsid w:val="00104DF3"/>
    <w:rsid w:val="00111615"/>
    <w:rsid w:val="00113F30"/>
    <w:rsid w:val="00115612"/>
    <w:rsid w:val="00116F1D"/>
    <w:rsid w:val="00120CE8"/>
    <w:rsid w:val="001219EB"/>
    <w:rsid w:val="00123AB3"/>
    <w:rsid w:val="001240A0"/>
    <w:rsid w:val="00124DAA"/>
    <w:rsid w:val="00126A15"/>
    <w:rsid w:val="00126E1E"/>
    <w:rsid w:val="001369CC"/>
    <w:rsid w:val="001372CA"/>
    <w:rsid w:val="0014508A"/>
    <w:rsid w:val="00146082"/>
    <w:rsid w:val="00147B7C"/>
    <w:rsid w:val="00147C84"/>
    <w:rsid w:val="0015432D"/>
    <w:rsid w:val="00155E61"/>
    <w:rsid w:val="00161601"/>
    <w:rsid w:val="00163367"/>
    <w:rsid w:val="00164AFD"/>
    <w:rsid w:val="00170289"/>
    <w:rsid w:val="001754A0"/>
    <w:rsid w:val="00180848"/>
    <w:rsid w:val="00184816"/>
    <w:rsid w:val="001867DB"/>
    <w:rsid w:val="001875E4"/>
    <w:rsid w:val="0019300D"/>
    <w:rsid w:val="00193A23"/>
    <w:rsid w:val="0019413B"/>
    <w:rsid w:val="00194E74"/>
    <w:rsid w:val="00195A13"/>
    <w:rsid w:val="00195F7D"/>
    <w:rsid w:val="001A0009"/>
    <w:rsid w:val="001A00EE"/>
    <w:rsid w:val="001A314E"/>
    <w:rsid w:val="001A3C10"/>
    <w:rsid w:val="001A40B7"/>
    <w:rsid w:val="001A7E79"/>
    <w:rsid w:val="001B0981"/>
    <w:rsid w:val="001B1F06"/>
    <w:rsid w:val="001B2E39"/>
    <w:rsid w:val="001B60E2"/>
    <w:rsid w:val="001C0719"/>
    <w:rsid w:val="001C73EA"/>
    <w:rsid w:val="001D0E0E"/>
    <w:rsid w:val="001D32CC"/>
    <w:rsid w:val="001D68AB"/>
    <w:rsid w:val="001E0830"/>
    <w:rsid w:val="001E0A0E"/>
    <w:rsid w:val="001E5C1B"/>
    <w:rsid w:val="001F0E2A"/>
    <w:rsid w:val="001F17A9"/>
    <w:rsid w:val="001F1A60"/>
    <w:rsid w:val="001F206A"/>
    <w:rsid w:val="001F4AF6"/>
    <w:rsid w:val="001F6169"/>
    <w:rsid w:val="001F62FA"/>
    <w:rsid w:val="001F7827"/>
    <w:rsid w:val="002066B7"/>
    <w:rsid w:val="00210BD8"/>
    <w:rsid w:val="00212A32"/>
    <w:rsid w:val="002234B8"/>
    <w:rsid w:val="00225902"/>
    <w:rsid w:val="002269EE"/>
    <w:rsid w:val="00227C9F"/>
    <w:rsid w:val="00227FD3"/>
    <w:rsid w:val="00231398"/>
    <w:rsid w:val="00232D8B"/>
    <w:rsid w:val="0023487F"/>
    <w:rsid w:val="00234E09"/>
    <w:rsid w:val="0023506F"/>
    <w:rsid w:val="002369C5"/>
    <w:rsid w:val="00241C52"/>
    <w:rsid w:val="002434F9"/>
    <w:rsid w:val="00243B59"/>
    <w:rsid w:val="0024517C"/>
    <w:rsid w:val="002468BE"/>
    <w:rsid w:val="00247875"/>
    <w:rsid w:val="00250CBE"/>
    <w:rsid w:val="002510CE"/>
    <w:rsid w:val="00253069"/>
    <w:rsid w:val="00261B89"/>
    <w:rsid w:val="00262B24"/>
    <w:rsid w:val="002675F6"/>
    <w:rsid w:val="00270501"/>
    <w:rsid w:val="00276FE4"/>
    <w:rsid w:val="002815C1"/>
    <w:rsid w:val="00281BB0"/>
    <w:rsid w:val="0028340D"/>
    <w:rsid w:val="00283EB8"/>
    <w:rsid w:val="002913C5"/>
    <w:rsid w:val="002913D7"/>
    <w:rsid w:val="00291DB3"/>
    <w:rsid w:val="0029252F"/>
    <w:rsid w:val="00293898"/>
    <w:rsid w:val="00294241"/>
    <w:rsid w:val="002950DC"/>
    <w:rsid w:val="002A070D"/>
    <w:rsid w:val="002A1328"/>
    <w:rsid w:val="002A1D87"/>
    <w:rsid w:val="002A1F8B"/>
    <w:rsid w:val="002A5113"/>
    <w:rsid w:val="002A6692"/>
    <w:rsid w:val="002B05B7"/>
    <w:rsid w:val="002B40BD"/>
    <w:rsid w:val="002B4DB9"/>
    <w:rsid w:val="002C2149"/>
    <w:rsid w:val="002C6717"/>
    <w:rsid w:val="002D7DC8"/>
    <w:rsid w:val="002E14AC"/>
    <w:rsid w:val="002E2868"/>
    <w:rsid w:val="002E2CB3"/>
    <w:rsid w:val="002E3A67"/>
    <w:rsid w:val="002E4086"/>
    <w:rsid w:val="002E4095"/>
    <w:rsid w:val="002E5C0A"/>
    <w:rsid w:val="002E721D"/>
    <w:rsid w:val="002F0053"/>
    <w:rsid w:val="002F32A2"/>
    <w:rsid w:val="002F34A1"/>
    <w:rsid w:val="003032AC"/>
    <w:rsid w:val="003051A3"/>
    <w:rsid w:val="00311949"/>
    <w:rsid w:val="00311A4F"/>
    <w:rsid w:val="00311F9A"/>
    <w:rsid w:val="0031261C"/>
    <w:rsid w:val="0031502A"/>
    <w:rsid w:val="00315CA5"/>
    <w:rsid w:val="00326ABF"/>
    <w:rsid w:val="00326E29"/>
    <w:rsid w:val="003276BD"/>
    <w:rsid w:val="00331066"/>
    <w:rsid w:val="00331A89"/>
    <w:rsid w:val="00333DA6"/>
    <w:rsid w:val="003407CD"/>
    <w:rsid w:val="00343A3B"/>
    <w:rsid w:val="00346CA6"/>
    <w:rsid w:val="00350CFE"/>
    <w:rsid w:val="003521C6"/>
    <w:rsid w:val="00353A66"/>
    <w:rsid w:val="003557F3"/>
    <w:rsid w:val="0035713A"/>
    <w:rsid w:val="003647CE"/>
    <w:rsid w:val="00364891"/>
    <w:rsid w:val="00365D30"/>
    <w:rsid w:val="0036685E"/>
    <w:rsid w:val="00366A7A"/>
    <w:rsid w:val="0037239A"/>
    <w:rsid w:val="003723E1"/>
    <w:rsid w:val="00372542"/>
    <w:rsid w:val="00374FF4"/>
    <w:rsid w:val="003757BD"/>
    <w:rsid w:val="0037775D"/>
    <w:rsid w:val="00377DEB"/>
    <w:rsid w:val="003811CD"/>
    <w:rsid w:val="00385661"/>
    <w:rsid w:val="003918D3"/>
    <w:rsid w:val="003955DF"/>
    <w:rsid w:val="003A4AD9"/>
    <w:rsid w:val="003B0BFE"/>
    <w:rsid w:val="003B18DD"/>
    <w:rsid w:val="003B2567"/>
    <w:rsid w:val="003B47E7"/>
    <w:rsid w:val="003B4A8B"/>
    <w:rsid w:val="003C02D9"/>
    <w:rsid w:val="003C2391"/>
    <w:rsid w:val="003C275B"/>
    <w:rsid w:val="003C37F2"/>
    <w:rsid w:val="003C6942"/>
    <w:rsid w:val="003C7004"/>
    <w:rsid w:val="003E1AF2"/>
    <w:rsid w:val="003E3D36"/>
    <w:rsid w:val="003E7B55"/>
    <w:rsid w:val="003F162A"/>
    <w:rsid w:val="003F18CF"/>
    <w:rsid w:val="003F1FCE"/>
    <w:rsid w:val="003F618B"/>
    <w:rsid w:val="00400037"/>
    <w:rsid w:val="00402D0D"/>
    <w:rsid w:val="00412DA3"/>
    <w:rsid w:val="00416B20"/>
    <w:rsid w:val="004201F4"/>
    <w:rsid w:val="00420979"/>
    <w:rsid w:val="0042227E"/>
    <w:rsid w:val="00422D8A"/>
    <w:rsid w:val="004258B1"/>
    <w:rsid w:val="00425D60"/>
    <w:rsid w:val="0042702B"/>
    <w:rsid w:val="004304B0"/>
    <w:rsid w:val="00430A29"/>
    <w:rsid w:val="00432392"/>
    <w:rsid w:val="00434581"/>
    <w:rsid w:val="00435C66"/>
    <w:rsid w:val="00436094"/>
    <w:rsid w:val="0044033C"/>
    <w:rsid w:val="00445A96"/>
    <w:rsid w:val="00446C15"/>
    <w:rsid w:val="00446D8C"/>
    <w:rsid w:val="00453312"/>
    <w:rsid w:val="004625DE"/>
    <w:rsid w:val="00462FD4"/>
    <w:rsid w:val="00463421"/>
    <w:rsid w:val="00464E67"/>
    <w:rsid w:val="00466461"/>
    <w:rsid w:val="004707A0"/>
    <w:rsid w:val="00472BCA"/>
    <w:rsid w:val="00477AA5"/>
    <w:rsid w:val="00481E61"/>
    <w:rsid w:val="00482748"/>
    <w:rsid w:val="00487490"/>
    <w:rsid w:val="00492173"/>
    <w:rsid w:val="00494233"/>
    <w:rsid w:val="004A0B39"/>
    <w:rsid w:val="004A1071"/>
    <w:rsid w:val="004A2291"/>
    <w:rsid w:val="004A3F51"/>
    <w:rsid w:val="004A5715"/>
    <w:rsid w:val="004A7261"/>
    <w:rsid w:val="004B622A"/>
    <w:rsid w:val="004B7C60"/>
    <w:rsid w:val="004C02D3"/>
    <w:rsid w:val="004C1230"/>
    <w:rsid w:val="004C3C82"/>
    <w:rsid w:val="004C4070"/>
    <w:rsid w:val="004C59C8"/>
    <w:rsid w:val="004D133D"/>
    <w:rsid w:val="004D34F7"/>
    <w:rsid w:val="004D4491"/>
    <w:rsid w:val="004D51F7"/>
    <w:rsid w:val="004D5789"/>
    <w:rsid w:val="004D6370"/>
    <w:rsid w:val="004D6C2E"/>
    <w:rsid w:val="004E10F4"/>
    <w:rsid w:val="004E3936"/>
    <w:rsid w:val="004E5AA8"/>
    <w:rsid w:val="004F28B0"/>
    <w:rsid w:val="004F46E2"/>
    <w:rsid w:val="004F495D"/>
    <w:rsid w:val="004F4B37"/>
    <w:rsid w:val="004F6989"/>
    <w:rsid w:val="005010FE"/>
    <w:rsid w:val="00501B4D"/>
    <w:rsid w:val="005043D0"/>
    <w:rsid w:val="005065D7"/>
    <w:rsid w:val="00507C72"/>
    <w:rsid w:val="005104C0"/>
    <w:rsid w:val="00516214"/>
    <w:rsid w:val="00516956"/>
    <w:rsid w:val="00516C0D"/>
    <w:rsid w:val="0052099D"/>
    <w:rsid w:val="00520EB1"/>
    <w:rsid w:val="00521037"/>
    <w:rsid w:val="00522228"/>
    <w:rsid w:val="00523F27"/>
    <w:rsid w:val="0052673D"/>
    <w:rsid w:val="005323FE"/>
    <w:rsid w:val="00534067"/>
    <w:rsid w:val="005343CD"/>
    <w:rsid w:val="0053453F"/>
    <w:rsid w:val="00536262"/>
    <w:rsid w:val="00540034"/>
    <w:rsid w:val="005409B3"/>
    <w:rsid w:val="0054483D"/>
    <w:rsid w:val="00546252"/>
    <w:rsid w:val="00546702"/>
    <w:rsid w:val="005473E1"/>
    <w:rsid w:val="00547CA7"/>
    <w:rsid w:val="00550CF1"/>
    <w:rsid w:val="00552B18"/>
    <w:rsid w:val="0055361D"/>
    <w:rsid w:val="0055452A"/>
    <w:rsid w:val="0055563E"/>
    <w:rsid w:val="00555DE2"/>
    <w:rsid w:val="00561CCC"/>
    <w:rsid w:val="005635B8"/>
    <w:rsid w:val="00565DF4"/>
    <w:rsid w:val="00567A00"/>
    <w:rsid w:val="00575EFC"/>
    <w:rsid w:val="00577FC1"/>
    <w:rsid w:val="00580354"/>
    <w:rsid w:val="00581313"/>
    <w:rsid w:val="0058208E"/>
    <w:rsid w:val="00582451"/>
    <w:rsid w:val="0058273E"/>
    <w:rsid w:val="005830FE"/>
    <w:rsid w:val="00585C56"/>
    <w:rsid w:val="00586388"/>
    <w:rsid w:val="00591860"/>
    <w:rsid w:val="005A16C2"/>
    <w:rsid w:val="005A3A27"/>
    <w:rsid w:val="005A528D"/>
    <w:rsid w:val="005B019B"/>
    <w:rsid w:val="005B3ABD"/>
    <w:rsid w:val="005C00BA"/>
    <w:rsid w:val="005C0121"/>
    <w:rsid w:val="005C38C7"/>
    <w:rsid w:val="005C487D"/>
    <w:rsid w:val="005D3485"/>
    <w:rsid w:val="005D3543"/>
    <w:rsid w:val="005D371C"/>
    <w:rsid w:val="005D381B"/>
    <w:rsid w:val="005D4675"/>
    <w:rsid w:val="005E3EFE"/>
    <w:rsid w:val="005E610F"/>
    <w:rsid w:val="005E6FA1"/>
    <w:rsid w:val="005E7505"/>
    <w:rsid w:val="005F14E4"/>
    <w:rsid w:val="005F4E94"/>
    <w:rsid w:val="00605C7D"/>
    <w:rsid w:val="00607D03"/>
    <w:rsid w:val="00610693"/>
    <w:rsid w:val="006162F7"/>
    <w:rsid w:val="00620C7F"/>
    <w:rsid w:val="00622F2C"/>
    <w:rsid w:val="00631169"/>
    <w:rsid w:val="00634B3F"/>
    <w:rsid w:val="0063567E"/>
    <w:rsid w:val="00637C58"/>
    <w:rsid w:val="006443DD"/>
    <w:rsid w:val="00644A7C"/>
    <w:rsid w:val="00645137"/>
    <w:rsid w:val="006473D7"/>
    <w:rsid w:val="00652D89"/>
    <w:rsid w:val="006578C1"/>
    <w:rsid w:val="006605A7"/>
    <w:rsid w:val="006630C6"/>
    <w:rsid w:val="00663351"/>
    <w:rsid w:val="00663DD5"/>
    <w:rsid w:val="006657A4"/>
    <w:rsid w:val="0067087B"/>
    <w:rsid w:val="00671037"/>
    <w:rsid w:val="00671B6D"/>
    <w:rsid w:val="00672F42"/>
    <w:rsid w:val="00674A9C"/>
    <w:rsid w:val="00675B59"/>
    <w:rsid w:val="006772B2"/>
    <w:rsid w:val="006779FF"/>
    <w:rsid w:val="00681A1C"/>
    <w:rsid w:val="00681B05"/>
    <w:rsid w:val="006846CA"/>
    <w:rsid w:val="00690986"/>
    <w:rsid w:val="00695ADD"/>
    <w:rsid w:val="006A5B01"/>
    <w:rsid w:val="006A708B"/>
    <w:rsid w:val="006B0072"/>
    <w:rsid w:val="006B1958"/>
    <w:rsid w:val="006B305F"/>
    <w:rsid w:val="006B362F"/>
    <w:rsid w:val="006B4021"/>
    <w:rsid w:val="006C3A50"/>
    <w:rsid w:val="006C3F2E"/>
    <w:rsid w:val="006D093A"/>
    <w:rsid w:val="006D280F"/>
    <w:rsid w:val="006D308A"/>
    <w:rsid w:val="006D5775"/>
    <w:rsid w:val="006E4997"/>
    <w:rsid w:val="006E7CA4"/>
    <w:rsid w:val="006F1410"/>
    <w:rsid w:val="006F1E5F"/>
    <w:rsid w:val="006F2769"/>
    <w:rsid w:val="006F43B7"/>
    <w:rsid w:val="006F50E2"/>
    <w:rsid w:val="006F63CD"/>
    <w:rsid w:val="006F6771"/>
    <w:rsid w:val="00703515"/>
    <w:rsid w:val="007049EE"/>
    <w:rsid w:val="007060E1"/>
    <w:rsid w:val="00707EA8"/>
    <w:rsid w:val="00710B3C"/>
    <w:rsid w:val="00715A07"/>
    <w:rsid w:val="0071687D"/>
    <w:rsid w:val="00721461"/>
    <w:rsid w:val="007230E5"/>
    <w:rsid w:val="00724009"/>
    <w:rsid w:val="00724657"/>
    <w:rsid w:val="0072497F"/>
    <w:rsid w:val="00724A90"/>
    <w:rsid w:val="0072676A"/>
    <w:rsid w:val="007346A2"/>
    <w:rsid w:val="0074335D"/>
    <w:rsid w:val="00743BC9"/>
    <w:rsid w:val="00746C6A"/>
    <w:rsid w:val="00752808"/>
    <w:rsid w:val="00754B3F"/>
    <w:rsid w:val="0075567B"/>
    <w:rsid w:val="00760D74"/>
    <w:rsid w:val="00764AF2"/>
    <w:rsid w:val="00765103"/>
    <w:rsid w:val="0076685A"/>
    <w:rsid w:val="00771274"/>
    <w:rsid w:val="00772D5B"/>
    <w:rsid w:val="007743CE"/>
    <w:rsid w:val="00774EF7"/>
    <w:rsid w:val="007753AC"/>
    <w:rsid w:val="00780850"/>
    <w:rsid w:val="0078105E"/>
    <w:rsid w:val="00782EE5"/>
    <w:rsid w:val="007832F0"/>
    <w:rsid w:val="007846AB"/>
    <w:rsid w:val="00790E29"/>
    <w:rsid w:val="00792F42"/>
    <w:rsid w:val="00795B60"/>
    <w:rsid w:val="00796176"/>
    <w:rsid w:val="007964BD"/>
    <w:rsid w:val="0079651F"/>
    <w:rsid w:val="0079679A"/>
    <w:rsid w:val="00797FB2"/>
    <w:rsid w:val="007A0F5D"/>
    <w:rsid w:val="007A278B"/>
    <w:rsid w:val="007A31B4"/>
    <w:rsid w:val="007A3E0D"/>
    <w:rsid w:val="007A4066"/>
    <w:rsid w:val="007A4BA7"/>
    <w:rsid w:val="007A7363"/>
    <w:rsid w:val="007B13DB"/>
    <w:rsid w:val="007B2E78"/>
    <w:rsid w:val="007B3C14"/>
    <w:rsid w:val="007B44CF"/>
    <w:rsid w:val="007B4BAA"/>
    <w:rsid w:val="007B4D2B"/>
    <w:rsid w:val="007C0354"/>
    <w:rsid w:val="007C155F"/>
    <w:rsid w:val="007C16A8"/>
    <w:rsid w:val="007C2FE3"/>
    <w:rsid w:val="007C45F8"/>
    <w:rsid w:val="007C4BFD"/>
    <w:rsid w:val="007C5068"/>
    <w:rsid w:val="007C68EF"/>
    <w:rsid w:val="007D04E3"/>
    <w:rsid w:val="007D32D1"/>
    <w:rsid w:val="007D3800"/>
    <w:rsid w:val="007D3DE9"/>
    <w:rsid w:val="007D459E"/>
    <w:rsid w:val="007D4BB0"/>
    <w:rsid w:val="007D756B"/>
    <w:rsid w:val="007E18E4"/>
    <w:rsid w:val="007E2034"/>
    <w:rsid w:val="007E550D"/>
    <w:rsid w:val="007E65EB"/>
    <w:rsid w:val="007E6792"/>
    <w:rsid w:val="007F0287"/>
    <w:rsid w:val="007F0337"/>
    <w:rsid w:val="007F0585"/>
    <w:rsid w:val="00804C1A"/>
    <w:rsid w:val="00804E23"/>
    <w:rsid w:val="00805D24"/>
    <w:rsid w:val="00806438"/>
    <w:rsid w:val="008076BD"/>
    <w:rsid w:val="00812528"/>
    <w:rsid w:val="008159AB"/>
    <w:rsid w:val="008224CA"/>
    <w:rsid w:val="00822502"/>
    <w:rsid w:val="00822C4D"/>
    <w:rsid w:val="00824721"/>
    <w:rsid w:val="00826880"/>
    <w:rsid w:val="00827512"/>
    <w:rsid w:val="00827E6C"/>
    <w:rsid w:val="008313C3"/>
    <w:rsid w:val="00831BE5"/>
    <w:rsid w:val="00833B7A"/>
    <w:rsid w:val="00833D66"/>
    <w:rsid w:val="0083580A"/>
    <w:rsid w:val="00835BFD"/>
    <w:rsid w:val="0084170D"/>
    <w:rsid w:val="00842225"/>
    <w:rsid w:val="0084645C"/>
    <w:rsid w:val="00847052"/>
    <w:rsid w:val="00850A01"/>
    <w:rsid w:val="00851223"/>
    <w:rsid w:val="00852BA3"/>
    <w:rsid w:val="008542C5"/>
    <w:rsid w:val="00856089"/>
    <w:rsid w:val="008579E9"/>
    <w:rsid w:val="00857C88"/>
    <w:rsid w:val="00863241"/>
    <w:rsid w:val="0087260E"/>
    <w:rsid w:val="0087501B"/>
    <w:rsid w:val="008760BB"/>
    <w:rsid w:val="00884C05"/>
    <w:rsid w:val="0088605E"/>
    <w:rsid w:val="00887EC7"/>
    <w:rsid w:val="00890ED1"/>
    <w:rsid w:val="00891C6C"/>
    <w:rsid w:val="00895AE1"/>
    <w:rsid w:val="008A091F"/>
    <w:rsid w:val="008A169B"/>
    <w:rsid w:val="008A2D47"/>
    <w:rsid w:val="008A2E9B"/>
    <w:rsid w:val="008A5395"/>
    <w:rsid w:val="008A5575"/>
    <w:rsid w:val="008A7171"/>
    <w:rsid w:val="008A71F0"/>
    <w:rsid w:val="008B289F"/>
    <w:rsid w:val="008B7E1C"/>
    <w:rsid w:val="008B7F8F"/>
    <w:rsid w:val="008C27B4"/>
    <w:rsid w:val="008C3219"/>
    <w:rsid w:val="008C47D8"/>
    <w:rsid w:val="008C4F7A"/>
    <w:rsid w:val="008C545A"/>
    <w:rsid w:val="008D4ED8"/>
    <w:rsid w:val="008E083B"/>
    <w:rsid w:val="008E237B"/>
    <w:rsid w:val="008E5318"/>
    <w:rsid w:val="008E6E91"/>
    <w:rsid w:val="008F1732"/>
    <w:rsid w:val="008F2C2B"/>
    <w:rsid w:val="008F3C62"/>
    <w:rsid w:val="008F6F85"/>
    <w:rsid w:val="00901717"/>
    <w:rsid w:val="00902A27"/>
    <w:rsid w:val="00902D19"/>
    <w:rsid w:val="00906342"/>
    <w:rsid w:val="009119D7"/>
    <w:rsid w:val="00911F6C"/>
    <w:rsid w:val="0091310A"/>
    <w:rsid w:val="009136EA"/>
    <w:rsid w:val="00913CE4"/>
    <w:rsid w:val="0091448D"/>
    <w:rsid w:val="00914ED5"/>
    <w:rsid w:val="0091764C"/>
    <w:rsid w:val="00921A75"/>
    <w:rsid w:val="00922CFE"/>
    <w:rsid w:val="0092442A"/>
    <w:rsid w:val="0092704F"/>
    <w:rsid w:val="00941B4D"/>
    <w:rsid w:val="00942761"/>
    <w:rsid w:val="0094321D"/>
    <w:rsid w:val="0094493B"/>
    <w:rsid w:val="009507C8"/>
    <w:rsid w:val="00950A4C"/>
    <w:rsid w:val="009521D7"/>
    <w:rsid w:val="00956608"/>
    <w:rsid w:val="009601F7"/>
    <w:rsid w:val="0096185D"/>
    <w:rsid w:val="00964E32"/>
    <w:rsid w:val="0097220C"/>
    <w:rsid w:val="009729A1"/>
    <w:rsid w:val="00973E90"/>
    <w:rsid w:val="00977DA6"/>
    <w:rsid w:val="009806BA"/>
    <w:rsid w:val="009821F3"/>
    <w:rsid w:val="00983BB3"/>
    <w:rsid w:val="00984391"/>
    <w:rsid w:val="00992F68"/>
    <w:rsid w:val="00993F5D"/>
    <w:rsid w:val="009A0CB7"/>
    <w:rsid w:val="009A2914"/>
    <w:rsid w:val="009A38B1"/>
    <w:rsid w:val="009A46EF"/>
    <w:rsid w:val="009A4B94"/>
    <w:rsid w:val="009A5F7F"/>
    <w:rsid w:val="009B0C92"/>
    <w:rsid w:val="009B123C"/>
    <w:rsid w:val="009B33E2"/>
    <w:rsid w:val="009B608D"/>
    <w:rsid w:val="009C0561"/>
    <w:rsid w:val="009C0F26"/>
    <w:rsid w:val="009C183C"/>
    <w:rsid w:val="009C2A8F"/>
    <w:rsid w:val="009C5C13"/>
    <w:rsid w:val="009C7699"/>
    <w:rsid w:val="009D0A87"/>
    <w:rsid w:val="009D3976"/>
    <w:rsid w:val="009D3CB7"/>
    <w:rsid w:val="009D3FF5"/>
    <w:rsid w:val="009E2E3B"/>
    <w:rsid w:val="009E5593"/>
    <w:rsid w:val="009E6429"/>
    <w:rsid w:val="009E68DC"/>
    <w:rsid w:val="009F05FB"/>
    <w:rsid w:val="009F269D"/>
    <w:rsid w:val="009F6A2F"/>
    <w:rsid w:val="00A01A46"/>
    <w:rsid w:val="00A0307E"/>
    <w:rsid w:val="00A05C32"/>
    <w:rsid w:val="00A063D1"/>
    <w:rsid w:val="00A07F6E"/>
    <w:rsid w:val="00A1065F"/>
    <w:rsid w:val="00A10E04"/>
    <w:rsid w:val="00A124B0"/>
    <w:rsid w:val="00A13CC6"/>
    <w:rsid w:val="00A171C5"/>
    <w:rsid w:val="00A21092"/>
    <w:rsid w:val="00A22321"/>
    <w:rsid w:val="00A22362"/>
    <w:rsid w:val="00A22C0F"/>
    <w:rsid w:val="00A22E61"/>
    <w:rsid w:val="00A22EF5"/>
    <w:rsid w:val="00A27916"/>
    <w:rsid w:val="00A3030C"/>
    <w:rsid w:val="00A32212"/>
    <w:rsid w:val="00A32221"/>
    <w:rsid w:val="00A32E8A"/>
    <w:rsid w:val="00A33E25"/>
    <w:rsid w:val="00A400A7"/>
    <w:rsid w:val="00A409EE"/>
    <w:rsid w:val="00A41D5F"/>
    <w:rsid w:val="00A435C2"/>
    <w:rsid w:val="00A474F7"/>
    <w:rsid w:val="00A51E24"/>
    <w:rsid w:val="00A53E81"/>
    <w:rsid w:val="00A555B6"/>
    <w:rsid w:val="00A55EC4"/>
    <w:rsid w:val="00A572F0"/>
    <w:rsid w:val="00A576E9"/>
    <w:rsid w:val="00A61353"/>
    <w:rsid w:val="00A61402"/>
    <w:rsid w:val="00A64182"/>
    <w:rsid w:val="00A64228"/>
    <w:rsid w:val="00A65974"/>
    <w:rsid w:val="00A673D8"/>
    <w:rsid w:val="00A708B1"/>
    <w:rsid w:val="00A70D99"/>
    <w:rsid w:val="00A70F3F"/>
    <w:rsid w:val="00A76CFB"/>
    <w:rsid w:val="00A76D7D"/>
    <w:rsid w:val="00A77325"/>
    <w:rsid w:val="00A80957"/>
    <w:rsid w:val="00A80D6A"/>
    <w:rsid w:val="00A8410A"/>
    <w:rsid w:val="00A84601"/>
    <w:rsid w:val="00A857E6"/>
    <w:rsid w:val="00A86B2B"/>
    <w:rsid w:val="00A92DF1"/>
    <w:rsid w:val="00A95525"/>
    <w:rsid w:val="00A9566D"/>
    <w:rsid w:val="00A9580D"/>
    <w:rsid w:val="00AA04B9"/>
    <w:rsid w:val="00AA2885"/>
    <w:rsid w:val="00AA2FD5"/>
    <w:rsid w:val="00AA4ABA"/>
    <w:rsid w:val="00AA5646"/>
    <w:rsid w:val="00AB407B"/>
    <w:rsid w:val="00AB57C5"/>
    <w:rsid w:val="00AC1C76"/>
    <w:rsid w:val="00AC5D30"/>
    <w:rsid w:val="00AC60A5"/>
    <w:rsid w:val="00AC669A"/>
    <w:rsid w:val="00AD0550"/>
    <w:rsid w:val="00AD23C0"/>
    <w:rsid w:val="00AD279C"/>
    <w:rsid w:val="00AD2B51"/>
    <w:rsid w:val="00AE1350"/>
    <w:rsid w:val="00AE256F"/>
    <w:rsid w:val="00AE3AE1"/>
    <w:rsid w:val="00AE79A4"/>
    <w:rsid w:val="00AF25E9"/>
    <w:rsid w:val="00AF7143"/>
    <w:rsid w:val="00B015DB"/>
    <w:rsid w:val="00B01F65"/>
    <w:rsid w:val="00B026A1"/>
    <w:rsid w:val="00B041B3"/>
    <w:rsid w:val="00B06848"/>
    <w:rsid w:val="00B06F06"/>
    <w:rsid w:val="00B07C3E"/>
    <w:rsid w:val="00B104E7"/>
    <w:rsid w:val="00B143F0"/>
    <w:rsid w:val="00B152DA"/>
    <w:rsid w:val="00B15941"/>
    <w:rsid w:val="00B159B9"/>
    <w:rsid w:val="00B21989"/>
    <w:rsid w:val="00B22CF7"/>
    <w:rsid w:val="00B23231"/>
    <w:rsid w:val="00B23DA3"/>
    <w:rsid w:val="00B26E52"/>
    <w:rsid w:val="00B303CB"/>
    <w:rsid w:val="00B31581"/>
    <w:rsid w:val="00B328ED"/>
    <w:rsid w:val="00B33618"/>
    <w:rsid w:val="00B3707D"/>
    <w:rsid w:val="00B4036C"/>
    <w:rsid w:val="00B42CA4"/>
    <w:rsid w:val="00B42D52"/>
    <w:rsid w:val="00B44508"/>
    <w:rsid w:val="00B446CF"/>
    <w:rsid w:val="00B46DB1"/>
    <w:rsid w:val="00B47331"/>
    <w:rsid w:val="00B4748D"/>
    <w:rsid w:val="00B5017D"/>
    <w:rsid w:val="00B521CF"/>
    <w:rsid w:val="00B5315F"/>
    <w:rsid w:val="00B54AD1"/>
    <w:rsid w:val="00B54EA2"/>
    <w:rsid w:val="00B55400"/>
    <w:rsid w:val="00B55869"/>
    <w:rsid w:val="00B56BCC"/>
    <w:rsid w:val="00B60AE6"/>
    <w:rsid w:val="00B6248B"/>
    <w:rsid w:val="00B66B76"/>
    <w:rsid w:val="00B67686"/>
    <w:rsid w:val="00B72DD5"/>
    <w:rsid w:val="00B7353B"/>
    <w:rsid w:val="00B7506D"/>
    <w:rsid w:val="00B80AC7"/>
    <w:rsid w:val="00B82C26"/>
    <w:rsid w:val="00B832AF"/>
    <w:rsid w:val="00B846FA"/>
    <w:rsid w:val="00B95182"/>
    <w:rsid w:val="00B95B9B"/>
    <w:rsid w:val="00B97228"/>
    <w:rsid w:val="00B978EF"/>
    <w:rsid w:val="00BA1808"/>
    <w:rsid w:val="00BA5A58"/>
    <w:rsid w:val="00BB336D"/>
    <w:rsid w:val="00BB692E"/>
    <w:rsid w:val="00BB749A"/>
    <w:rsid w:val="00BC0FA2"/>
    <w:rsid w:val="00BD25F2"/>
    <w:rsid w:val="00BD3D5D"/>
    <w:rsid w:val="00BD5202"/>
    <w:rsid w:val="00BD52EC"/>
    <w:rsid w:val="00BD65F1"/>
    <w:rsid w:val="00BD7CDA"/>
    <w:rsid w:val="00BE1944"/>
    <w:rsid w:val="00BE2EB2"/>
    <w:rsid w:val="00BE34DC"/>
    <w:rsid w:val="00BE38DA"/>
    <w:rsid w:val="00BE51B4"/>
    <w:rsid w:val="00BF4725"/>
    <w:rsid w:val="00BF676D"/>
    <w:rsid w:val="00C0094C"/>
    <w:rsid w:val="00C01761"/>
    <w:rsid w:val="00C0327D"/>
    <w:rsid w:val="00C03738"/>
    <w:rsid w:val="00C041C9"/>
    <w:rsid w:val="00C05F4E"/>
    <w:rsid w:val="00C1008D"/>
    <w:rsid w:val="00C14B8F"/>
    <w:rsid w:val="00C16801"/>
    <w:rsid w:val="00C16C72"/>
    <w:rsid w:val="00C222E8"/>
    <w:rsid w:val="00C24421"/>
    <w:rsid w:val="00C26876"/>
    <w:rsid w:val="00C27768"/>
    <w:rsid w:val="00C35BFE"/>
    <w:rsid w:val="00C37BB1"/>
    <w:rsid w:val="00C4148C"/>
    <w:rsid w:val="00C421DB"/>
    <w:rsid w:val="00C423F6"/>
    <w:rsid w:val="00C46232"/>
    <w:rsid w:val="00C56C49"/>
    <w:rsid w:val="00C6511F"/>
    <w:rsid w:val="00C65205"/>
    <w:rsid w:val="00C65DA1"/>
    <w:rsid w:val="00C66E72"/>
    <w:rsid w:val="00C67C28"/>
    <w:rsid w:val="00C72D98"/>
    <w:rsid w:val="00C73ED6"/>
    <w:rsid w:val="00C742D5"/>
    <w:rsid w:val="00C75058"/>
    <w:rsid w:val="00C762E5"/>
    <w:rsid w:val="00C801C2"/>
    <w:rsid w:val="00C82B2F"/>
    <w:rsid w:val="00C83036"/>
    <w:rsid w:val="00C85304"/>
    <w:rsid w:val="00C86BD9"/>
    <w:rsid w:val="00C9135C"/>
    <w:rsid w:val="00C92427"/>
    <w:rsid w:val="00C94CA6"/>
    <w:rsid w:val="00C94F92"/>
    <w:rsid w:val="00CA0A6B"/>
    <w:rsid w:val="00CA2DA3"/>
    <w:rsid w:val="00CA2E58"/>
    <w:rsid w:val="00CA3507"/>
    <w:rsid w:val="00CA3A50"/>
    <w:rsid w:val="00CA5793"/>
    <w:rsid w:val="00CA5A0A"/>
    <w:rsid w:val="00CA675B"/>
    <w:rsid w:val="00CB081F"/>
    <w:rsid w:val="00CB0D85"/>
    <w:rsid w:val="00CB0FD1"/>
    <w:rsid w:val="00CB1A9B"/>
    <w:rsid w:val="00CB1D6C"/>
    <w:rsid w:val="00CB282C"/>
    <w:rsid w:val="00CB3D45"/>
    <w:rsid w:val="00CB6FDE"/>
    <w:rsid w:val="00CC3F36"/>
    <w:rsid w:val="00CC4745"/>
    <w:rsid w:val="00CC49E5"/>
    <w:rsid w:val="00CC70DE"/>
    <w:rsid w:val="00CD0054"/>
    <w:rsid w:val="00CD0223"/>
    <w:rsid w:val="00CD43E4"/>
    <w:rsid w:val="00CE18AB"/>
    <w:rsid w:val="00CE255E"/>
    <w:rsid w:val="00CE3514"/>
    <w:rsid w:val="00CE3CCF"/>
    <w:rsid w:val="00CE5A5F"/>
    <w:rsid w:val="00CF0D78"/>
    <w:rsid w:val="00CF24C2"/>
    <w:rsid w:val="00D03955"/>
    <w:rsid w:val="00D1046C"/>
    <w:rsid w:val="00D14D55"/>
    <w:rsid w:val="00D17C39"/>
    <w:rsid w:val="00D20816"/>
    <w:rsid w:val="00D2107A"/>
    <w:rsid w:val="00D21665"/>
    <w:rsid w:val="00D22E3F"/>
    <w:rsid w:val="00D23425"/>
    <w:rsid w:val="00D23B7C"/>
    <w:rsid w:val="00D331D6"/>
    <w:rsid w:val="00D355DC"/>
    <w:rsid w:val="00D3619D"/>
    <w:rsid w:val="00D374CD"/>
    <w:rsid w:val="00D43D36"/>
    <w:rsid w:val="00D504E5"/>
    <w:rsid w:val="00D51669"/>
    <w:rsid w:val="00D53E40"/>
    <w:rsid w:val="00D55BEC"/>
    <w:rsid w:val="00D60CFB"/>
    <w:rsid w:val="00D621C5"/>
    <w:rsid w:val="00D67D40"/>
    <w:rsid w:val="00D7125A"/>
    <w:rsid w:val="00D71562"/>
    <w:rsid w:val="00D73FBC"/>
    <w:rsid w:val="00D756BC"/>
    <w:rsid w:val="00D779D6"/>
    <w:rsid w:val="00D80550"/>
    <w:rsid w:val="00D80AFC"/>
    <w:rsid w:val="00D81AD4"/>
    <w:rsid w:val="00D81B0C"/>
    <w:rsid w:val="00D82273"/>
    <w:rsid w:val="00D85F07"/>
    <w:rsid w:val="00D8699E"/>
    <w:rsid w:val="00D91EA0"/>
    <w:rsid w:val="00D97431"/>
    <w:rsid w:val="00DA2164"/>
    <w:rsid w:val="00DA27DE"/>
    <w:rsid w:val="00DA4313"/>
    <w:rsid w:val="00DA630E"/>
    <w:rsid w:val="00DA6393"/>
    <w:rsid w:val="00DA6666"/>
    <w:rsid w:val="00DA7E48"/>
    <w:rsid w:val="00DB2757"/>
    <w:rsid w:val="00DB2BC1"/>
    <w:rsid w:val="00DB3760"/>
    <w:rsid w:val="00DB38FD"/>
    <w:rsid w:val="00DB7D93"/>
    <w:rsid w:val="00DC2249"/>
    <w:rsid w:val="00DC3E3C"/>
    <w:rsid w:val="00DC4D6E"/>
    <w:rsid w:val="00DC597F"/>
    <w:rsid w:val="00DC741E"/>
    <w:rsid w:val="00DC778A"/>
    <w:rsid w:val="00DD20AD"/>
    <w:rsid w:val="00DD2617"/>
    <w:rsid w:val="00DD3DE9"/>
    <w:rsid w:val="00DD6819"/>
    <w:rsid w:val="00DD693E"/>
    <w:rsid w:val="00DD6FBA"/>
    <w:rsid w:val="00DE1253"/>
    <w:rsid w:val="00DE32F2"/>
    <w:rsid w:val="00DE6364"/>
    <w:rsid w:val="00DE6534"/>
    <w:rsid w:val="00DE675E"/>
    <w:rsid w:val="00DF26F9"/>
    <w:rsid w:val="00DF5CDF"/>
    <w:rsid w:val="00DF632B"/>
    <w:rsid w:val="00DF7EB5"/>
    <w:rsid w:val="00E00C67"/>
    <w:rsid w:val="00E02179"/>
    <w:rsid w:val="00E03451"/>
    <w:rsid w:val="00E039F9"/>
    <w:rsid w:val="00E05684"/>
    <w:rsid w:val="00E07781"/>
    <w:rsid w:val="00E10E90"/>
    <w:rsid w:val="00E14D5C"/>
    <w:rsid w:val="00E167C6"/>
    <w:rsid w:val="00E25D03"/>
    <w:rsid w:val="00E260E0"/>
    <w:rsid w:val="00E30759"/>
    <w:rsid w:val="00E347B5"/>
    <w:rsid w:val="00E42229"/>
    <w:rsid w:val="00E42D25"/>
    <w:rsid w:val="00E43C9F"/>
    <w:rsid w:val="00E457D2"/>
    <w:rsid w:val="00E52EFD"/>
    <w:rsid w:val="00E5579D"/>
    <w:rsid w:val="00E63EAC"/>
    <w:rsid w:val="00E70583"/>
    <w:rsid w:val="00E75207"/>
    <w:rsid w:val="00E82091"/>
    <w:rsid w:val="00E82B2D"/>
    <w:rsid w:val="00E830B3"/>
    <w:rsid w:val="00E87AE3"/>
    <w:rsid w:val="00E9053D"/>
    <w:rsid w:val="00E92BC4"/>
    <w:rsid w:val="00E94188"/>
    <w:rsid w:val="00E97746"/>
    <w:rsid w:val="00EA1CC1"/>
    <w:rsid w:val="00EA23CA"/>
    <w:rsid w:val="00EA23F3"/>
    <w:rsid w:val="00EA2414"/>
    <w:rsid w:val="00EA2D63"/>
    <w:rsid w:val="00EB268B"/>
    <w:rsid w:val="00EB39B3"/>
    <w:rsid w:val="00EB4858"/>
    <w:rsid w:val="00EB54F7"/>
    <w:rsid w:val="00EC02E7"/>
    <w:rsid w:val="00EC177D"/>
    <w:rsid w:val="00EC43DA"/>
    <w:rsid w:val="00EC6CD0"/>
    <w:rsid w:val="00EC765F"/>
    <w:rsid w:val="00EC77CD"/>
    <w:rsid w:val="00ED0BA4"/>
    <w:rsid w:val="00EE46A4"/>
    <w:rsid w:val="00EE5D4F"/>
    <w:rsid w:val="00EE656F"/>
    <w:rsid w:val="00EE7042"/>
    <w:rsid w:val="00EF5A12"/>
    <w:rsid w:val="00EF6D5C"/>
    <w:rsid w:val="00EF78C7"/>
    <w:rsid w:val="00F002C1"/>
    <w:rsid w:val="00F01D66"/>
    <w:rsid w:val="00F01EED"/>
    <w:rsid w:val="00F02DC2"/>
    <w:rsid w:val="00F12447"/>
    <w:rsid w:val="00F13357"/>
    <w:rsid w:val="00F157A8"/>
    <w:rsid w:val="00F165BF"/>
    <w:rsid w:val="00F20ED0"/>
    <w:rsid w:val="00F21607"/>
    <w:rsid w:val="00F25455"/>
    <w:rsid w:val="00F27442"/>
    <w:rsid w:val="00F35F39"/>
    <w:rsid w:val="00F36D12"/>
    <w:rsid w:val="00F4067D"/>
    <w:rsid w:val="00F4137F"/>
    <w:rsid w:val="00F42B2B"/>
    <w:rsid w:val="00F458F8"/>
    <w:rsid w:val="00F53EAF"/>
    <w:rsid w:val="00F544DE"/>
    <w:rsid w:val="00F551D2"/>
    <w:rsid w:val="00F57147"/>
    <w:rsid w:val="00F60980"/>
    <w:rsid w:val="00F616A0"/>
    <w:rsid w:val="00F620A5"/>
    <w:rsid w:val="00F63570"/>
    <w:rsid w:val="00F64819"/>
    <w:rsid w:val="00F64A31"/>
    <w:rsid w:val="00F6732E"/>
    <w:rsid w:val="00F74431"/>
    <w:rsid w:val="00F75110"/>
    <w:rsid w:val="00F81A98"/>
    <w:rsid w:val="00F83D68"/>
    <w:rsid w:val="00F86BDC"/>
    <w:rsid w:val="00F87426"/>
    <w:rsid w:val="00F900E1"/>
    <w:rsid w:val="00F90957"/>
    <w:rsid w:val="00F91B79"/>
    <w:rsid w:val="00FA52DF"/>
    <w:rsid w:val="00FA5785"/>
    <w:rsid w:val="00FA6E07"/>
    <w:rsid w:val="00FB1CAB"/>
    <w:rsid w:val="00FB24C4"/>
    <w:rsid w:val="00FB40C3"/>
    <w:rsid w:val="00FB4B3F"/>
    <w:rsid w:val="00FB638E"/>
    <w:rsid w:val="00FC343A"/>
    <w:rsid w:val="00FC6B7B"/>
    <w:rsid w:val="00FD4306"/>
    <w:rsid w:val="00FD45A9"/>
    <w:rsid w:val="00FD6391"/>
    <w:rsid w:val="00FE03E7"/>
    <w:rsid w:val="00FE0EFD"/>
    <w:rsid w:val="00FE203B"/>
    <w:rsid w:val="00FE4659"/>
    <w:rsid w:val="00FE6802"/>
    <w:rsid w:val="00FE7590"/>
    <w:rsid w:val="00FF0CB7"/>
    <w:rsid w:val="00FF5D74"/>
    <w:rsid w:val="00FF6D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7E0"/>
  <w15:docId w15:val="{E636496D-9DDC-4622-9570-470A7D9B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A6"/>
  </w:style>
  <w:style w:type="paragraph" w:styleId="Balk7">
    <w:name w:val="heading 7"/>
    <w:basedOn w:val="Normal"/>
    <w:next w:val="Normal"/>
    <w:link w:val="Balk7Char"/>
    <w:uiPriority w:val="9"/>
    <w:unhideWhenUsed/>
    <w:qFormat/>
    <w:rsid w:val="0067087B"/>
    <w:pPr>
      <w:spacing w:before="240" w:after="60"/>
      <w:jc w:val="both"/>
      <w:outlineLvl w:val="6"/>
    </w:pPr>
    <w:rPr>
      <w:rFonts w:ascii="Palatino Linotype" w:eastAsia="Times New Roman" w:hAnsi="Palatino Linotype" w:cs="Times New Roman"/>
      <w:b/>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C16801"/>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16801"/>
    <w:rPr>
      <w:rFonts w:ascii="Tahoma" w:hAnsi="Tahoma" w:cs="Tahoma"/>
      <w:sz w:val="16"/>
      <w:szCs w:val="16"/>
    </w:rPr>
  </w:style>
  <w:style w:type="paragraph" w:styleId="ListeParagraf">
    <w:name w:val="List Paragraph"/>
    <w:basedOn w:val="Normal"/>
    <w:uiPriority w:val="34"/>
    <w:qFormat/>
    <w:rsid w:val="00EB4858"/>
    <w:pPr>
      <w:ind w:left="720"/>
      <w:contextualSpacing/>
    </w:pPr>
  </w:style>
  <w:style w:type="paragraph" w:styleId="BalonMetni">
    <w:name w:val="Balloon Text"/>
    <w:basedOn w:val="Normal"/>
    <w:link w:val="BalonMetniChar"/>
    <w:uiPriority w:val="99"/>
    <w:semiHidden/>
    <w:unhideWhenUsed/>
    <w:rsid w:val="00DC3E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E3C"/>
    <w:rPr>
      <w:rFonts w:ascii="Tahoma" w:hAnsi="Tahoma" w:cs="Tahoma"/>
      <w:sz w:val="16"/>
      <w:szCs w:val="16"/>
    </w:rPr>
  </w:style>
  <w:style w:type="paragraph" w:styleId="stBilgi">
    <w:name w:val="header"/>
    <w:basedOn w:val="Normal"/>
    <w:link w:val="stBilgiChar"/>
    <w:uiPriority w:val="99"/>
    <w:unhideWhenUsed/>
    <w:rsid w:val="00374FF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74FF4"/>
  </w:style>
  <w:style w:type="paragraph" w:styleId="AltBilgi">
    <w:name w:val="footer"/>
    <w:basedOn w:val="Normal"/>
    <w:link w:val="AltBilgiChar"/>
    <w:uiPriority w:val="99"/>
    <w:unhideWhenUsed/>
    <w:rsid w:val="00374FF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74FF4"/>
  </w:style>
  <w:style w:type="paragraph" w:customStyle="1" w:styleId="JuPara">
    <w:name w:val="Ju_Para"/>
    <w:aliases w:val="_Para,ECHR_Para"/>
    <w:basedOn w:val="Normal"/>
    <w:link w:val="JuParaChar"/>
    <w:uiPriority w:val="4"/>
    <w:qFormat/>
    <w:rsid w:val="009C0F26"/>
    <w:pPr>
      <w:spacing w:after="0" w:line="240" w:lineRule="auto"/>
      <w:ind w:firstLine="284"/>
      <w:jc w:val="both"/>
    </w:pPr>
    <w:rPr>
      <w:sz w:val="24"/>
      <w:szCs w:val="24"/>
      <w:lang w:val="en-GB"/>
    </w:rPr>
  </w:style>
  <w:style w:type="character" w:customStyle="1" w:styleId="JuParaChar">
    <w:name w:val="Ju_Para Char"/>
    <w:aliases w:val="_Para Char,ECHR_Para Char"/>
    <w:link w:val="JuPara"/>
    <w:uiPriority w:val="4"/>
    <w:qFormat/>
    <w:locked/>
    <w:rsid w:val="009C0F26"/>
    <w:rPr>
      <w:sz w:val="24"/>
      <w:szCs w:val="24"/>
      <w:lang w:val="en-GB"/>
    </w:rPr>
  </w:style>
  <w:style w:type="character" w:styleId="Vurgu">
    <w:name w:val="Emphasis"/>
    <w:basedOn w:val="VarsaylanParagrafYazTipi"/>
    <w:uiPriority w:val="20"/>
    <w:qFormat/>
    <w:rsid w:val="00607D03"/>
    <w:rPr>
      <w:i/>
      <w:iCs/>
    </w:rPr>
  </w:style>
  <w:style w:type="character" w:customStyle="1" w:styleId="sb8d990e2">
    <w:name w:val="sb8d990e2"/>
    <w:rsid w:val="00B041B3"/>
  </w:style>
  <w:style w:type="character" w:customStyle="1" w:styleId="s6b621b36">
    <w:name w:val="s6b621b36"/>
    <w:basedOn w:val="VarsaylanParagrafYazTipi"/>
    <w:rsid w:val="007049EE"/>
  </w:style>
  <w:style w:type="character" w:styleId="Kpr">
    <w:name w:val="Hyperlink"/>
    <w:basedOn w:val="VarsaylanParagrafYazTipi"/>
    <w:uiPriority w:val="99"/>
    <w:semiHidden/>
    <w:unhideWhenUsed/>
    <w:rsid w:val="007049EE"/>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00043E3C"/>
    <w:pPr>
      <w:jc w:val="both"/>
    </w:pPr>
    <w:rPr>
      <w:rFonts w:ascii="Times New Roman" w:eastAsia="SimSun" w:hAnsi="Times New Roman" w:cs="Times New Roman"/>
      <w:sz w:val="20"/>
      <w:szCs w:val="20"/>
      <w:lang w:eastAsia="zh-CN"/>
    </w:rPr>
  </w:style>
  <w:style w:type="character" w:customStyle="1" w:styleId="DipnotMetniChar">
    <w:name w:val="Dipnot Metni Char"/>
    <w:aliases w:val="Dipnot Metni Char Char Char Char Char,Dipnot Metni Char Char Char Char1"/>
    <w:basedOn w:val="VarsaylanParagrafYazTipi"/>
    <w:link w:val="DipnotMetni"/>
    <w:uiPriority w:val="99"/>
    <w:rsid w:val="00043E3C"/>
    <w:rPr>
      <w:rFonts w:ascii="Times New Roman" w:eastAsia="SimSun" w:hAnsi="Times New Roman" w:cs="Times New Roman"/>
      <w:sz w:val="20"/>
      <w:szCs w:val="20"/>
      <w:lang w:eastAsia="zh-CN"/>
    </w:rPr>
  </w:style>
  <w:style w:type="character" w:styleId="DipnotBavurusu">
    <w:name w:val="footnote reference"/>
    <w:aliases w:val="4_G,Footnotes refss,Appel note de bas de p.,Footnote text,ftref"/>
    <w:uiPriority w:val="99"/>
    <w:unhideWhenUsed/>
    <w:qFormat/>
    <w:rsid w:val="00043E3C"/>
    <w:rPr>
      <w:rFonts w:ascii="Calibri" w:eastAsia="SimSun" w:hAnsi="Calibri" w:cs="Times New Roman"/>
      <w:vertAlign w:val="superscript"/>
    </w:rPr>
  </w:style>
  <w:style w:type="paragraph" w:styleId="DzMetin">
    <w:name w:val="Plain Text"/>
    <w:basedOn w:val="Normal"/>
    <w:link w:val="DzMetinChar"/>
    <w:rsid w:val="006B1958"/>
    <w:pPr>
      <w:spacing w:after="0" w:line="240" w:lineRule="auto"/>
      <w:jc w:val="both"/>
    </w:pPr>
    <w:rPr>
      <w:rFonts w:ascii="Courier New" w:eastAsia="Times New Roman" w:hAnsi="Courier New" w:cs="Times New Roman"/>
      <w:sz w:val="20"/>
      <w:szCs w:val="20"/>
      <w:lang w:eastAsia="zh-CN"/>
    </w:rPr>
  </w:style>
  <w:style w:type="character" w:customStyle="1" w:styleId="DzMetinChar">
    <w:name w:val="Düz Metin Char"/>
    <w:basedOn w:val="VarsaylanParagrafYazTipi"/>
    <w:link w:val="DzMetin"/>
    <w:rsid w:val="006B1958"/>
    <w:rPr>
      <w:rFonts w:ascii="Courier New" w:eastAsia="Times New Roman" w:hAnsi="Courier New" w:cs="Times New Roman"/>
      <w:sz w:val="20"/>
      <w:szCs w:val="20"/>
      <w:lang w:eastAsia="zh-CN"/>
    </w:rPr>
  </w:style>
  <w:style w:type="paragraph" w:customStyle="1" w:styleId="DIPSON">
    <w:name w:val="DIP SON"/>
    <w:basedOn w:val="Normal"/>
    <w:uiPriority w:val="99"/>
    <w:rsid w:val="0067087B"/>
    <w:pPr>
      <w:keepLines/>
      <w:autoSpaceDE w:val="0"/>
      <w:autoSpaceDN w:val="0"/>
      <w:adjustRightInd w:val="0"/>
      <w:spacing w:after="0" w:line="288" w:lineRule="auto"/>
      <w:ind w:left="283" w:hanging="283"/>
      <w:jc w:val="both"/>
      <w:textAlignment w:val="center"/>
    </w:pPr>
    <w:rPr>
      <w:rFonts w:ascii="Palatino Linotype" w:eastAsia="Calibri" w:hAnsi="Palatino Linotype" w:cs="Palatino Linotype"/>
      <w:color w:val="000000"/>
      <w:sz w:val="16"/>
      <w:szCs w:val="16"/>
    </w:rPr>
  </w:style>
  <w:style w:type="character" w:customStyle="1" w:styleId="Balk7Char">
    <w:name w:val="Başlık 7 Char"/>
    <w:basedOn w:val="VarsaylanParagrafYazTipi"/>
    <w:link w:val="Balk7"/>
    <w:uiPriority w:val="9"/>
    <w:rsid w:val="0067087B"/>
    <w:rPr>
      <w:rFonts w:ascii="Palatino Linotype" w:eastAsia="Times New Roman" w:hAnsi="Palatino Linotype" w:cs="Times New Roman"/>
      <w:b/>
      <w:sz w:val="24"/>
      <w:szCs w:val="24"/>
      <w:lang w:eastAsia="zh-CN"/>
    </w:rPr>
  </w:style>
  <w:style w:type="character" w:styleId="HafifVurgulama">
    <w:name w:val="Subtle Emphasis"/>
    <w:basedOn w:val="VarsaylanParagrafYazTipi"/>
    <w:uiPriority w:val="99"/>
    <w:qFormat/>
    <w:rsid w:val="0076685A"/>
    <w:rPr>
      <w:rFonts w:ascii="Calibri" w:eastAsia="SimSun" w:hAnsi="Calibri" w:cs="Times New Roman"/>
      <w:i/>
      <w:iCs/>
      <w:color w:val="808080"/>
    </w:rPr>
  </w:style>
  <w:style w:type="paragraph" w:customStyle="1" w:styleId="Default">
    <w:name w:val="Default"/>
    <w:rsid w:val="00B60AE6"/>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 w:type="paragraph" w:styleId="NormalWeb">
    <w:name w:val="Normal (Web)"/>
    <w:basedOn w:val="Normal"/>
    <w:uiPriority w:val="99"/>
    <w:unhideWhenUsed/>
    <w:rsid w:val="000D04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vl-default">
    <w:name w:val="hvl-default"/>
    <w:rsid w:val="000A7B71"/>
    <w:pPr>
      <w:widowControl w:val="0"/>
      <w:suppressAutoHyphens/>
      <w:spacing w:after="0" w:line="240" w:lineRule="auto"/>
    </w:pPr>
    <w:rPr>
      <w:rFonts w:ascii="Times New Roman" w:eastAsia="Andale Sans UI" w:hAnsi="Times New Roman" w:cs="Tahoma"/>
      <w:kern w:val="1"/>
      <w:sz w:val="24"/>
      <w:szCs w:val="24"/>
      <w:lang w:val="de-DE" w:eastAsia="fa-IR" w:bidi="fa-IR"/>
    </w:rPr>
  </w:style>
  <w:style w:type="paragraph" w:styleId="Alnt">
    <w:name w:val="Quote"/>
    <w:basedOn w:val="Normal"/>
    <w:next w:val="Normal"/>
    <w:link w:val="AlntChar"/>
    <w:uiPriority w:val="29"/>
    <w:qFormat/>
    <w:rsid w:val="000C70E8"/>
    <w:pPr>
      <w:spacing w:before="200" w:after="160"/>
      <w:ind w:left="864" w:right="864"/>
      <w:jc w:val="center"/>
    </w:pPr>
    <w:rPr>
      <w:rFonts w:ascii="Times New Roman" w:eastAsia="SimSun" w:hAnsi="Times New Roman" w:cs="Times New Roman"/>
      <w:i/>
      <w:iCs/>
      <w:color w:val="000000"/>
      <w:sz w:val="28"/>
      <w:lang w:eastAsia="zh-CN"/>
    </w:rPr>
  </w:style>
  <w:style w:type="character" w:customStyle="1" w:styleId="AlntChar">
    <w:name w:val="Alıntı Char"/>
    <w:link w:val="Alnt"/>
    <w:uiPriority w:val="29"/>
    <w:rsid w:val="000C70E8"/>
    <w:rPr>
      <w:rFonts w:ascii="Times New Roman" w:eastAsia="SimSun" w:hAnsi="Times New Roman" w:cs="Times New Roman"/>
      <w:i/>
      <w:iCs/>
      <w:color w:val="000000"/>
      <w:sz w:val="28"/>
      <w:szCs w:val="22"/>
      <w:lang w:eastAsia="zh-CN"/>
    </w:rPr>
  </w:style>
  <w:style w:type="character" w:customStyle="1" w:styleId="AlntChar1">
    <w:name w:val="Alıntı Char1"/>
    <w:basedOn w:val="VarsaylanParagrafYazTipi"/>
    <w:uiPriority w:val="29"/>
    <w:rsid w:val="000C70E8"/>
    <w:rPr>
      <w:i/>
      <w:iCs/>
      <w:color w:val="404040" w:themeColor="text1" w:themeTint="BF"/>
    </w:rPr>
  </w:style>
  <w:style w:type="character" w:styleId="Gl">
    <w:name w:val="Strong"/>
    <w:basedOn w:val="VarsaylanParagrafYazTipi"/>
    <w:uiPriority w:val="22"/>
    <w:qFormat/>
    <w:rsid w:val="008159AB"/>
    <w:rPr>
      <w:b/>
      <w:bCs/>
    </w:rPr>
  </w:style>
  <w:style w:type="character" w:customStyle="1" w:styleId="column">
    <w:name w:val="column"/>
    <w:basedOn w:val="VarsaylanParagrafYazTipi"/>
    <w:rsid w:val="008D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87638">
      <w:bodyDiv w:val="1"/>
      <w:marLeft w:val="0"/>
      <w:marRight w:val="0"/>
      <w:marTop w:val="0"/>
      <w:marBottom w:val="0"/>
      <w:divBdr>
        <w:top w:val="none" w:sz="0" w:space="0" w:color="auto"/>
        <w:left w:val="none" w:sz="0" w:space="0" w:color="auto"/>
        <w:bottom w:val="none" w:sz="0" w:space="0" w:color="auto"/>
        <w:right w:val="none" w:sz="0" w:space="0" w:color="auto"/>
      </w:divBdr>
    </w:div>
    <w:div w:id="393964976">
      <w:bodyDiv w:val="1"/>
      <w:marLeft w:val="0"/>
      <w:marRight w:val="0"/>
      <w:marTop w:val="0"/>
      <w:marBottom w:val="0"/>
      <w:divBdr>
        <w:top w:val="none" w:sz="0" w:space="0" w:color="auto"/>
        <w:left w:val="none" w:sz="0" w:space="0" w:color="auto"/>
        <w:bottom w:val="none" w:sz="0" w:space="0" w:color="auto"/>
        <w:right w:val="none" w:sz="0" w:space="0" w:color="auto"/>
      </w:divBdr>
    </w:div>
    <w:div w:id="540021804">
      <w:bodyDiv w:val="1"/>
      <w:marLeft w:val="0"/>
      <w:marRight w:val="0"/>
      <w:marTop w:val="0"/>
      <w:marBottom w:val="0"/>
      <w:divBdr>
        <w:top w:val="none" w:sz="0" w:space="0" w:color="auto"/>
        <w:left w:val="none" w:sz="0" w:space="0" w:color="auto"/>
        <w:bottom w:val="none" w:sz="0" w:space="0" w:color="auto"/>
        <w:right w:val="none" w:sz="0" w:space="0" w:color="auto"/>
      </w:divBdr>
    </w:div>
    <w:div w:id="828449137">
      <w:bodyDiv w:val="1"/>
      <w:marLeft w:val="0"/>
      <w:marRight w:val="0"/>
      <w:marTop w:val="0"/>
      <w:marBottom w:val="0"/>
      <w:divBdr>
        <w:top w:val="none" w:sz="0" w:space="0" w:color="auto"/>
        <w:left w:val="none" w:sz="0" w:space="0" w:color="auto"/>
        <w:bottom w:val="none" w:sz="0" w:space="0" w:color="auto"/>
        <w:right w:val="none" w:sz="0" w:space="0" w:color="auto"/>
      </w:divBdr>
    </w:div>
    <w:div w:id="1201866012">
      <w:bodyDiv w:val="1"/>
      <w:marLeft w:val="0"/>
      <w:marRight w:val="0"/>
      <w:marTop w:val="0"/>
      <w:marBottom w:val="0"/>
      <w:divBdr>
        <w:top w:val="none" w:sz="0" w:space="0" w:color="auto"/>
        <w:left w:val="none" w:sz="0" w:space="0" w:color="auto"/>
        <w:bottom w:val="none" w:sz="0" w:space="0" w:color="auto"/>
        <w:right w:val="none" w:sz="0" w:space="0" w:color="auto"/>
      </w:divBdr>
    </w:div>
    <w:div w:id="1849297254">
      <w:bodyDiv w:val="1"/>
      <w:marLeft w:val="0"/>
      <w:marRight w:val="0"/>
      <w:marTop w:val="0"/>
      <w:marBottom w:val="0"/>
      <w:divBdr>
        <w:top w:val="none" w:sz="0" w:space="0" w:color="auto"/>
        <w:left w:val="none" w:sz="0" w:space="0" w:color="auto"/>
        <w:bottom w:val="none" w:sz="0" w:space="0" w:color="auto"/>
        <w:right w:val="none" w:sz="0" w:space="0" w:color="auto"/>
      </w:divBdr>
    </w:div>
    <w:div w:id="20144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FE63F-F358-49F6-8DA4-FA818C5A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11984</Words>
  <Characters>68314</Characters>
  <Application>Microsoft Office Word</Application>
  <DocSecurity>0</DocSecurity>
  <Lines>569</Lines>
  <Paragraphs>160</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NeC</Company>
  <LinksUpToDate>false</LinksUpToDate>
  <CharactersWithSpaces>80138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nn hh</cp:lastModifiedBy>
  <cp:revision>2</cp:revision>
  <dcterms:created xsi:type="dcterms:W3CDTF">2025-08-04T23:06:00Z</dcterms:created>
  <dcterms:modified xsi:type="dcterms:W3CDTF">2025-08-04T23:06:00Z</dcterms:modified>
</cp:coreProperties>
</file>